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480"/>
        <w:jc w:val="center"/>
        <w:rPr>
          <w:rFonts w:ascii="Calibri" w:hAnsi="Calibri" w:cs="Calibri" w:asciiTheme="minorHAnsi" w:cstheme="minorHAnsi" w:hAnsiTheme="minorHAnsi"/>
          <w:b/>
          <w:b/>
          <w:bCs/>
          <w:iCs/>
          <w:sz w:val="24"/>
        </w:rPr>
      </w:pPr>
      <w:r>
        <w:drawing>
          <wp:anchor behindDoc="0" distT="0" distB="0" distL="18415" distR="0" simplePos="0" locked="0" layoutInCell="1" allowOverlap="1" relativeHeight="2">
            <wp:simplePos x="0" y="0"/>
            <wp:positionH relativeFrom="column">
              <wp:posOffset>2341880</wp:posOffset>
            </wp:positionH>
            <wp:positionV relativeFrom="paragraph">
              <wp:posOffset>-1905</wp:posOffset>
            </wp:positionV>
            <wp:extent cx="878840" cy="874395"/>
            <wp:effectExtent l="0" t="0" r="0" b="0"/>
            <wp:wrapTopAndBottom/>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878840" cy="874395"/>
                    </a:xfrm>
                    <a:prstGeom prst="rect">
                      <a:avLst/>
                    </a:prstGeom>
                  </pic:spPr>
                </pic:pic>
              </a:graphicData>
            </a:graphic>
          </wp:anchor>
        </w:drawing>
      </w:r>
      <w:r>
        <w:rPr>
          <w:rFonts w:cs="Calibri" w:ascii="Calibri" w:hAnsi="Calibri" w:asciiTheme="minorHAnsi" w:cstheme="minorHAnsi" w:hAnsiTheme="minorHAnsi"/>
          <w:b/>
          <w:bCs/>
          <w:iCs/>
          <w:sz w:val="24"/>
          <w:szCs w:val="24"/>
        </w:rPr>
        <w:t>H</w:t>
      </w:r>
      <w:r>
        <w:rPr>
          <w:rFonts w:cs="Calibri" w:ascii="Calibri" w:hAnsi="Calibri" w:asciiTheme="minorHAnsi" w:cstheme="minorHAnsi" w:hAnsiTheme="minorHAnsi"/>
          <w:b/>
          <w:bCs/>
          <w:iCs/>
          <w:sz w:val="24"/>
          <w:szCs w:val="24"/>
        </w:rPr>
        <w:t>OSPITAL NAVAL MARCÍLIO DIAS</w:t>
      </w:r>
    </w:p>
    <w:p>
      <w:pPr>
        <w:pStyle w:val="Normal"/>
        <w:spacing w:lineRule="auto" w:line="480"/>
        <w:jc w:val="center"/>
        <w:rPr>
          <w:rFonts w:ascii="Calibri" w:hAnsi="Calibri"/>
          <w:sz w:val="24"/>
          <w:szCs w:val="24"/>
        </w:rPr>
      </w:pPr>
      <w:r>
        <w:rPr>
          <w:rFonts w:cs="Calibri" w:ascii="Calibri" w:hAnsi="Calibri" w:asciiTheme="minorHAnsi" w:cstheme="minorHAnsi" w:hAnsiTheme="minorHAnsi"/>
          <w:b/>
          <w:bCs/>
          <w:color w:val="000000" w:themeColor="text1"/>
          <w:sz w:val="24"/>
          <w:szCs w:val="24"/>
        </w:rPr>
        <w:t>AVISO DE DISPENSA ELETRÔNICA Nº                  / 2023</w:t>
      </w:r>
    </w:p>
    <w:p>
      <w:pPr>
        <w:pStyle w:val="Normal"/>
        <w:spacing w:lineRule="auto" w:line="480"/>
        <w:jc w:val="center"/>
        <w:rPr/>
      </w:pPr>
      <w:r>
        <w:rPr>
          <w:rFonts w:cs="Calibri" w:ascii="Calibri" w:hAnsi="Calibri" w:asciiTheme="minorHAnsi" w:cstheme="minorHAnsi" w:hAnsiTheme="minorHAnsi"/>
          <w:b/>
          <w:bCs/>
          <w:color w:val="00000A"/>
          <w:sz w:val="24"/>
          <w:szCs w:val="24"/>
        </w:rPr>
        <w:t xml:space="preserve">Processo Administrativo Nº:  </w:t>
      </w:r>
      <w:r>
        <w:rPr>
          <w:rStyle w:val="Nfaseforte"/>
          <w:rFonts w:cs="Calibri" w:ascii="Calibri" w:hAnsi="Calibri" w:asciiTheme="minorHAnsi" w:cstheme="minorHAnsi" w:hAnsiTheme="minorHAnsi"/>
          <w:color w:val="00000A"/>
          <w:sz w:val="24"/>
          <w:szCs w:val="24"/>
        </w:rPr>
        <w:t xml:space="preserve">63148.037861/2023-93 </w:t>
      </w:r>
    </w:p>
    <w:p>
      <w:pPr>
        <w:pStyle w:val="Normal"/>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napToGrid w:val="false"/>
        <w:spacing w:before="0" w:after="120"/>
        <w:ind w:right="-30" w:firstLine="1418"/>
        <w:jc w:val="both"/>
        <w:rPr/>
      </w:pPr>
      <w:r>
        <w:rPr>
          <w:rFonts w:cs="Calibri" w:ascii="Calibri" w:hAnsi="Calibri" w:asciiTheme="minorHAnsi" w:cstheme="minorHAnsi" w:hAnsiTheme="minorHAnsi"/>
          <w:color w:val="000000" w:themeColor="text1"/>
          <w:sz w:val="24"/>
          <w:szCs w:val="24"/>
        </w:rPr>
        <w:t>Torna-se público que o (a)</w:t>
      </w:r>
      <w:r>
        <w:rPr>
          <w:rFonts w:eastAsia="Arial" w:cs="Calibri" w:ascii="Calibri" w:hAnsi="Calibri" w:asciiTheme="minorHAnsi" w:cstheme="minorHAnsi" w:hAnsiTheme="minorHAnsi"/>
          <w:color w:val="FF0000"/>
          <w:sz w:val="24"/>
          <w:szCs w:val="24"/>
        </w:rPr>
        <w:t xml:space="preserve"> </w:t>
      </w:r>
      <w:r>
        <w:rPr>
          <w:rFonts w:eastAsia="Arial" w:cs="Calibri" w:ascii="Calibri" w:hAnsi="Calibri" w:asciiTheme="minorHAnsi" w:cstheme="minorHAnsi" w:hAnsiTheme="minorHAnsi"/>
          <w:sz w:val="24"/>
          <w:szCs w:val="24"/>
        </w:rPr>
        <w:t>Hospital Naval Marcílio Dias</w:t>
      </w:r>
      <w:r>
        <w:rPr>
          <w:rFonts w:cs="Calibri" w:ascii="Calibri" w:hAnsi="Calibri" w:asciiTheme="minorHAnsi" w:cstheme="minorHAnsi" w:hAnsiTheme="minorHAnsi"/>
          <w:sz w:val="24"/>
          <w:szCs w:val="24"/>
        </w:rPr>
        <w:t>, por meio da Clínica de Traumato Ortopedia, realizará</w:t>
      </w:r>
      <w:r>
        <w:rPr>
          <w:rFonts w:cs="Calibri" w:ascii="Calibri" w:hAnsi="Calibri" w:asciiTheme="minorHAnsi" w:cstheme="minorHAnsi" w:hAnsiTheme="minorHAnsi"/>
          <w:color w:val="000000" w:themeColor="text1"/>
          <w:sz w:val="24"/>
          <w:szCs w:val="24"/>
        </w:rPr>
        <w:t xml:space="preserve"> Dispensa Eletrônica, </w:t>
      </w:r>
      <w:r>
        <w:rPr>
          <w:rFonts w:cs="Calibri" w:ascii="Calibri" w:hAnsi="Calibri" w:asciiTheme="minorHAnsi" w:cstheme="minorHAnsi" w:hAnsiTheme="minorHAnsi"/>
          <w:bCs/>
          <w:color w:val="000000" w:themeColor="text1"/>
          <w:sz w:val="24"/>
          <w:szCs w:val="24"/>
        </w:rPr>
        <w:t xml:space="preserve">com critério de julgamento </w:t>
      </w:r>
      <w:r>
        <w:rPr>
          <w:rFonts w:cs="Calibri" w:ascii="Calibri" w:hAnsi="Calibri" w:asciiTheme="minorHAnsi" w:cstheme="minorHAnsi" w:hAnsiTheme="minorHAnsi"/>
          <w:sz w:val="24"/>
          <w:szCs w:val="24"/>
        </w:rPr>
        <w:t>menor preço</w:t>
      </w:r>
      <w:r>
        <w:rPr>
          <w:rFonts w:cs="Calibri" w:ascii="Calibri" w:hAnsi="Calibri" w:asciiTheme="minorHAnsi" w:cstheme="minorHAnsi" w:hAnsiTheme="minorHAnsi"/>
          <w:b/>
          <w:bCs/>
          <w:i/>
          <w:color w:val="FF0000"/>
          <w:sz w:val="24"/>
          <w:szCs w:val="24"/>
        </w:rPr>
        <w:t xml:space="preserve">, </w:t>
      </w:r>
      <w:r>
        <w:rPr>
          <w:rFonts w:cs="Calibri" w:ascii="Calibri" w:hAnsi="Calibri" w:asciiTheme="minorHAnsi" w:cstheme="minorHAnsi" w:hAnsiTheme="minorHAnsi"/>
          <w:color w:val="000000" w:themeColor="text1"/>
          <w:sz w:val="24"/>
          <w:szCs w:val="24"/>
        </w:rPr>
        <w:t>na hipótese do art. 75</w:t>
      </w:r>
      <w:r>
        <w:rPr>
          <w:rFonts w:cs="Calibri" w:ascii="Calibri" w:hAnsi="Calibri" w:asciiTheme="minorHAnsi" w:cstheme="minorHAnsi" w:hAnsiTheme="minorHAnsi"/>
          <w:i/>
          <w:iCs/>
          <w:color w:val="000000" w:themeColor="text1"/>
          <w:sz w:val="24"/>
          <w:szCs w:val="24"/>
        </w:rPr>
        <w:t>,</w:t>
      </w:r>
      <w:r>
        <w:rPr>
          <w:rFonts w:cs="Calibri" w:ascii="Calibri" w:hAnsi="Calibri" w:asciiTheme="minorHAnsi" w:cstheme="minorHAnsi" w:hAnsiTheme="minorHAnsi"/>
          <w:b/>
          <w:i/>
          <w:iCs/>
          <w:color w:val="FF0000"/>
          <w:sz w:val="24"/>
          <w:szCs w:val="24"/>
        </w:rPr>
        <w:t xml:space="preserve"> </w:t>
      </w:r>
      <w:r>
        <w:rPr>
          <w:rFonts w:cs="Calibri" w:ascii="Calibri" w:hAnsi="Calibri" w:asciiTheme="minorHAnsi" w:cstheme="minorHAnsi" w:hAnsiTheme="minorHAnsi"/>
          <w:b/>
          <w:i/>
          <w:iCs/>
          <w:color w:val="auto"/>
          <w:sz w:val="24"/>
          <w:szCs w:val="24"/>
        </w:rPr>
        <w:t>II</w:t>
      </w:r>
      <w:r>
        <w:rPr>
          <w:rFonts w:cs="Calibri" w:ascii="Calibri" w:hAnsi="Calibri" w:asciiTheme="minorHAnsi" w:cstheme="minorHAnsi" w:hAnsiTheme="minorHAnsi"/>
          <w:i/>
          <w:iCs/>
          <w:color w:val="auto"/>
          <w:sz w:val="24"/>
          <w:szCs w:val="24"/>
        </w:rPr>
        <w:t xml:space="preserve">, </w:t>
      </w:r>
      <w:r>
        <w:rPr>
          <w:rFonts w:cs="Calibri" w:ascii="Calibri" w:hAnsi="Calibri" w:asciiTheme="minorHAnsi" w:cstheme="minorHAnsi" w:hAnsiTheme="minorHAnsi"/>
          <w:bCs/>
          <w:sz w:val="24"/>
          <w:szCs w:val="24"/>
        </w:rPr>
        <w:t>nos termos da Lei nº 14.133, de 1º de abril de 2021, da Instrução Normativa SEGES/ME nº 67/2021 e demais legislação aplicável</w:t>
      </w:r>
      <w:r>
        <w:rPr>
          <w:rFonts w:cs="Calibri" w:ascii="Calibri" w:hAnsi="Calibri" w:asciiTheme="minorHAnsi" w:cstheme="minorHAnsi" w:hAnsiTheme="minorHAnsi"/>
          <w:color w:val="000000"/>
          <w:sz w:val="24"/>
          <w:szCs w:val="24"/>
        </w:rPr>
        <w:t>.</w:t>
      </w:r>
    </w:p>
    <w:p>
      <w:pPr>
        <w:pStyle w:val="Normal"/>
        <w:jc w:val="both"/>
        <w:rPr>
          <w:rFonts w:ascii="Calibri" w:hAnsi="Calibri" w:cs="Calibri" w:asciiTheme="minorHAnsi" w:cstheme="minorHAnsi" w:hAnsiTheme="minorHAnsi"/>
          <w:color w:val="000000" w:themeColor="text1"/>
          <w:sz w:val="24"/>
          <w:szCs w:val="24"/>
        </w:rPr>
      </w:pPr>
      <w:r>
        <w:rPr>
          <w:rFonts w:cs="Calibri" w:cstheme="minorHAnsi" w:ascii="Calibri" w:hAnsi="Calibri"/>
          <w:color w:val="000000" w:themeColor="text1"/>
          <w:sz w:val="24"/>
          <w:szCs w:val="24"/>
        </w:rPr>
      </w:r>
    </w:p>
    <w:p>
      <w:pPr>
        <w:pStyle w:val="Normal"/>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szCs w:val="24"/>
        </w:rPr>
        <w:t>Data da sessão:</w:t>
      </w:r>
    </w:p>
    <w:p>
      <w:pPr>
        <w:pStyle w:val="Normal"/>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szCs w:val="24"/>
        </w:rPr>
        <w:t>Link:</w:t>
      </w:r>
    </w:p>
    <w:p>
      <w:pPr>
        <w:pStyle w:val="Normal"/>
        <w:rPr/>
      </w:pPr>
      <w:r>
        <w:rPr>
          <w:rFonts w:cs="Calibri" w:ascii="Calibri" w:hAnsi="Calibri" w:asciiTheme="minorHAnsi" w:cstheme="minorHAnsi" w:hAnsiTheme="minorHAnsi"/>
          <w:color w:val="000000" w:themeColor="text1"/>
          <w:sz w:val="24"/>
          <w:szCs w:val="24"/>
        </w:rPr>
        <w:t xml:space="preserve">Horário da Fase de Lances: 8:00 às </w:t>
      </w:r>
      <w:r>
        <w:rPr>
          <w:rFonts w:cs="Calibri" w:ascii="Calibri" w:hAnsi="Calibri" w:asciiTheme="minorHAnsi" w:cstheme="minorHAnsi" w:hAnsiTheme="minorHAnsi"/>
          <w:i w:val="false"/>
          <w:iCs w:val="false"/>
          <w:color w:val="auto"/>
          <w:sz w:val="24"/>
          <w:szCs w:val="24"/>
        </w:rPr>
        <w:t>14:00</w:t>
      </w:r>
    </w:p>
    <w:p>
      <w:pPr>
        <w:pStyle w:val="PADRO"/>
        <w:keepNext/>
        <w:widowControl/>
        <w:shd w:val="clear" w:color="auto" w:fill="auto"/>
        <w:spacing w:lineRule="auto" w:line="240" w:before="120" w:after="120"/>
        <w:ind w:left="360" w:hanging="0"/>
        <w:rPr>
          <w:rFonts w:ascii="Calibri" w:hAnsi="Calibri" w:cs="Calibri" w:asciiTheme="minorHAnsi" w:cstheme="minorHAnsi" w:hAnsiTheme="minorHAnsi"/>
          <w:b/>
          <w:b/>
          <w:sz w:val="24"/>
          <w:szCs w:val="24"/>
        </w:rPr>
      </w:pPr>
      <w:r>
        <w:rPr>
          <w:rFonts w:cs="Calibri" w:cstheme="minorHAnsi" w:ascii="Calibri" w:hAnsi="Calibri"/>
          <w:b/>
          <w:sz w:val="24"/>
          <w:szCs w:val="24"/>
        </w:rPr>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bookmarkStart w:id="0" w:name="_GoBack"/>
      <w:bookmarkEnd w:id="0"/>
      <w:r>
        <w:rPr>
          <w:rFonts w:cs="Calibri" w:ascii="Calibri" w:hAnsi="Calibri" w:asciiTheme="minorHAnsi" w:cstheme="minorHAnsi" w:hAnsiTheme="minorHAnsi"/>
          <w:b/>
          <w:sz w:val="24"/>
          <w:szCs w:val="24"/>
        </w:rPr>
        <w:t>OBJETO DA CONTRATAÇÃO DIRETA</w:t>
      </w:r>
    </w:p>
    <w:p>
      <w:pPr>
        <w:pStyle w:val="PADRO"/>
        <w:numPr>
          <w:ilvl w:val="1"/>
          <w:numId w:val="1"/>
        </w:numPr>
        <w:shd w:val="clear" w:fill="FFFFFF"/>
        <w:spacing w:lineRule="auto" w:line="240" w:before="120" w:after="120"/>
        <w:rPr/>
      </w:pPr>
      <w:r>
        <w:rPr>
          <w:rFonts w:cs="Calibri" w:ascii="Calibri" w:hAnsi="Calibri" w:asciiTheme="minorHAnsi" w:cstheme="minorHAnsi" w:hAnsiTheme="minorHAnsi"/>
          <w:color w:val="000000" w:themeColor="text1"/>
          <w:sz w:val="24"/>
          <w:szCs w:val="24"/>
        </w:rPr>
        <w:t xml:space="preserve">O objeto da presente dispensa é a escolha da proposta mais vantajosa para a </w:t>
      </w:r>
      <w:r>
        <w:rPr>
          <w:rFonts w:cs="Calibri" w:ascii="Calibri" w:hAnsi="Calibri" w:asciiTheme="minorHAnsi" w:cstheme="minorHAnsi" w:hAnsiTheme="minorHAnsi"/>
          <w:sz w:val="24"/>
          <w:szCs w:val="24"/>
        </w:rPr>
        <w:t xml:space="preserve">contratação </w:t>
      </w:r>
      <w:r>
        <w:rPr>
          <w:rFonts w:cs="Calibri" w:ascii="Calibri" w:hAnsi="Calibri" w:asciiTheme="minorHAnsi" w:cstheme="minorHAnsi" w:hAnsiTheme="minorHAnsi"/>
          <w:color w:val="000000" w:themeColor="text1"/>
          <w:sz w:val="24"/>
          <w:szCs w:val="24"/>
        </w:rPr>
        <w:t xml:space="preserve">por Dispensa de Licitação da </w:t>
      </w:r>
      <w:r>
        <w:rPr>
          <w:rFonts w:eastAsia="Times New Roman" w:cs="Calibri" w:ascii="Calibri" w:hAnsi="Calibri"/>
          <w:sz w:val="24"/>
          <w:szCs w:val="24"/>
          <w:lang w:eastAsia="ar-SA"/>
        </w:rPr>
        <w:t>Aquisição</w:t>
      </w:r>
      <w:r>
        <w:rPr>
          <w:rFonts w:cs="Calibri" w:ascii="Calibri" w:hAnsi="Calibri"/>
          <w:sz w:val="24"/>
          <w:szCs w:val="24"/>
        </w:rPr>
        <w:t xml:space="preserve"> de </w:t>
      </w:r>
      <w:r>
        <w:rPr>
          <w:rFonts w:cs="Calibri" w:ascii="Calibri" w:hAnsi="Calibri"/>
          <w:sz w:val="24"/>
          <w:szCs w:val="24"/>
          <w:lang w:eastAsia="pt-BR"/>
        </w:rPr>
        <w:t>“</w:t>
      </w:r>
      <w:bookmarkStart w:id="1" w:name="__DdeLink__14644_719535963"/>
      <w:r>
        <w:rPr>
          <w:rFonts w:cs="Calibri" w:ascii="Calibri" w:hAnsi="Calibri"/>
          <w:b/>
          <w:i/>
          <w:sz w:val="24"/>
          <w:szCs w:val="24"/>
          <w:lang w:eastAsia="pt-BR"/>
        </w:rPr>
        <w:t>Órtese tipo AFO</w:t>
      </w:r>
      <w:bookmarkEnd w:id="1"/>
      <w:r>
        <w:rPr>
          <w:rFonts w:cs="Calibri" w:ascii="Calibri" w:hAnsi="Calibri"/>
          <w:b/>
          <w:i/>
          <w:sz w:val="24"/>
          <w:szCs w:val="24"/>
          <w:lang w:eastAsia="pt-BR"/>
        </w:rPr>
        <w:t xml:space="preserve"> para imobilização do tornozelo direito, de polipropileno, revestida de plastozote, moldada e feita sob medida</w:t>
      </w:r>
      <w:r>
        <w:rPr>
          <w:rFonts w:cs="Calibri" w:ascii="Calibri" w:hAnsi="Calibri"/>
          <w:sz w:val="24"/>
          <w:szCs w:val="24"/>
          <w:lang w:eastAsia="pt-BR"/>
        </w:rPr>
        <w:t>”</w:t>
      </w:r>
      <w:r>
        <w:rPr>
          <w:rFonts w:cs="Calibri"/>
          <w:sz w:val="24"/>
        </w:rPr>
        <w:t>, de</w:t>
      </w:r>
      <w:r>
        <w:rPr>
          <w:rFonts w:eastAsia="Times New Roman" w:cs="Times New Roman" w:ascii="Calibri" w:hAnsi="Calibri" w:asciiTheme="minorHAnsi" w:hAnsiTheme="minorHAnsi"/>
          <w:b w:val="false"/>
          <w:bCs w:val="false"/>
          <w:i w:val="false"/>
          <w:iCs w:val="false"/>
          <w:color w:val="00000A"/>
          <w:sz w:val="24"/>
          <w:szCs w:val="24"/>
          <w:highlight w:val="white"/>
          <w:u w:val="none"/>
          <w:lang w:val="pt-BR" w:eastAsia="ar-SA" w:bidi="ar-SA"/>
        </w:rPr>
        <w:t xml:space="preserve"> fornecedor sediado na região metropolitana do Rio de Janeiro, de maneira a evitar o </w:t>
      </w:r>
      <w:r>
        <w:rPr>
          <w:rFonts w:eastAsia="Times New Roman" w:cs="Times New Roman" w:ascii="Calibri" w:hAnsi="Calibri" w:asciiTheme="minorHAnsi" w:hAnsiTheme="minorHAnsi"/>
          <w:b/>
          <w:bCs/>
          <w:i w:val="false"/>
          <w:iCs w:val="false"/>
          <w:color w:val="00000A"/>
          <w:sz w:val="24"/>
          <w:szCs w:val="24"/>
          <w:highlight w:val="white"/>
          <w:u w:val="none"/>
          <w:lang w:val="pt-BR" w:eastAsia="ar-SA" w:bidi="ar-SA"/>
        </w:rPr>
        <w:t xml:space="preserve">deslocamento do paciente atendido a empresas distantes, com SEDE em localidades diferentes daquela, </w:t>
      </w:r>
      <w:r>
        <w:rPr>
          <w:rFonts w:cs="Calibri" w:ascii="Calibri" w:hAnsi="Calibri"/>
          <w:color w:val="000000"/>
          <w:sz w:val="24"/>
          <w:szCs w:val="24"/>
          <w:lang w:eastAsia="pt-BR"/>
        </w:rPr>
        <w:t>para atendimento da solicitação do  paciente ETC prescrita pela Clínica de Traumato-Ortopedia</w:t>
      </w:r>
      <w:r>
        <w:rPr>
          <w:rFonts w:cs="Calibri" w:ascii="Calibri" w:hAnsi="Calibri" w:asciiTheme="minorHAnsi" w:cstheme="minorHAnsi" w:hAnsiTheme="minorHAnsi"/>
          <w:sz w:val="24"/>
        </w:rPr>
        <w:t>.</w:t>
      </w:r>
    </w:p>
    <w:p>
      <w:pPr>
        <w:pStyle w:val="PADRO"/>
        <w:keepNext/>
        <w:widowControl/>
        <w:numPr>
          <w:ilvl w:val="1"/>
          <w:numId w:val="1"/>
        </w:numPr>
        <w:shd w:val="clear" w:color="auto" w:fill="auto"/>
        <w:spacing w:lineRule="auto" w:line="240" w:before="120" w:after="120"/>
        <w:rPr>
          <w:rFonts w:ascii="Calibri" w:hAnsi="Calibri" w:cs="Calibri" w:asciiTheme="minorHAnsi" w:cstheme="minorHAnsi" w:hAnsiTheme="minorHAnsi"/>
          <w:sz w:val="24"/>
        </w:rPr>
      </w:pPr>
      <w:r>
        <w:rPr>
          <w:rFonts w:cs="Calibri" w:ascii="Calibri" w:hAnsi="Calibri" w:asciiTheme="minorHAnsi" w:cstheme="minorHAnsi" w:hAnsiTheme="minorHAnsi"/>
          <w:iCs/>
          <w:sz w:val="24"/>
        </w:rPr>
        <w:t>A contratação trata-se de 01 (um) item</w:t>
      </w:r>
      <w:r>
        <w:rPr>
          <w:rFonts w:cs="Calibri" w:ascii="Calibri" w:hAnsi="Calibri" w:asciiTheme="minorHAnsi" w:cstheme="minorHAnsi" w:hAnsiTheme="minorHAnsi"/>
          <w:b/>
          <w:bCs/>
          <w:iCs/>
          <w:sz w:val="24"/>
        </w:rPr>
        <w:t>,</w:t>
      </w:r>
      <w:r>
        <w:rPr>
          <w:rFonts w:cs="Calibri" w:ascii="Calibri" w:hAnsi="Calibri" w:asciiTheme="minorHAnsi" w:cstheme="minorHAnsi" w:hAnsiTheme="minorHAnsi"/>
          <w:iCs/>
          <w:sz w:val="24"/>
        </w:rPr>
        <w:t xml:space="preserve"> conforme tabela constante abaixo.</w:t>
      </w:r>
    </w:p>
    <w:tbl>
      <w:tblPr>
        <w:tblpPr w:bottomFromText="0" w:horzAnchor="margin" w:leftFromText="141" w:rightFromText="141" w:tblpX="0" w:tblpXSpec="center" w:tblpY="313" w:topFromText="0" w:vertAnchor="text"/>
        <w:tblW w:w="9426" w:type="dxa"/>
        <w:jc w:val="center"/>
        <w:tblInd w:w="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0" w:type="dxa"/>
          <w:left w:w="20" w:type="dxa"/>
          <w:bottom w:w="0" w:type="dxa"/>
          <w:right w:w="70" w:type="dxa"/>
        </w:tblCellMar>
        <w:tblLook w:val="04a0"/>
      </w:tblPr>
      <w:tblGrid>
        <w:gridCol w:w="637"/>
        <w:gridCol w:w="1035"/>
        <w:gridCol w:w="3643"/>
        <w:gridCol w:w="828"/>
        <w:gridCol w:w="829"/>
        <w:gridCol w:w="1177"/>
        <w:gridCol w:w="1276"/>
      </w:tblGrid>
      <w:tr>
        <w:trPr>
          <w:trHeight w:val="320" w:hRule="atLeast"/>
        </w:trPr>
        <w:tc>
          <w:tcPr>
            <w:tcW w:w="63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000000" w:fill="EEEEEE" w:val="clear"/>
            <w:tcMar>
              <w:left w:w="20" w:type="dxa"/>
            </w:tcMar>
            <w:vAlign w:val="center"/>
          </w:tcPr>
          <w:p>
            <w:pPr>
              <w:pStyle w:val="Normal"/>
              <w:jc w:val="center"/>
              <w:rPr>
                <w:rFonts w:ascii="Calibri" w:hAnsi="Calibri" w:cs="Calibri" w:asciiTheme="minorHAnsi" w:cstheme="minorHAnsi" w:hAnsiTheme="minorHAnsi"/>
                <w:b/>
                <w:b/>
                <w:bCs/>
                <w:color w:val="000000"/>
                <w:sz w:val="24"/>
              </w:rPr>
            </w:pPr>
            <w:r>
              <w:rPr>
                <w:rFonts w:cs="Calibri" w:ascii="Calibri" w:hAnsi="Calibri" w:asciiTheme="minorHAnsi" w:cstheme="minorHAnsi" w:hAnsiTheme="minorHAnsi"/>
                <w:b/>
                <w:bCs/>
                <w:color w:val="000000"/>
                <w:sz w:val="24"/>
              </w:rPr>
              <w:t>Item</w:t>
            </w:r>
          </w:p>
        </w:tc>
        <w:tc>
          <w:tcPr>
            <w:tcW w:w="10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000000" w:fill="EEEEEE" w:val="clear"/>
            <w:tcMar>
              <w:left w:w="20" w:type="dxa"/>
            </w:tcMar>
            <w:vAlign w:val="center"/>
          </w:tcPr>
          <w:p>
            <w:pPr>
              <w:pStyle w:val="Normal"/>
              <w:jc w:val="center"/>
              <w:rPr>
                <w:rFonts w:ascii="Calibri" w:hAnsi="Calibri" w:cs="Calibri" w:asciiTheme="minorHAnsi" w:cstheme="minorHAnsi" w:hAnsiTheme="minorHAnsi"/>
                <w:b/>
                <w:b/>
                <w:bCs/>
                <w:color w:val="000000"/>
                <w:sz w:val="24"/>
              </w:rPr>
            </w:pPr>
            <w:r>
              <w:rPr>
                <w:rFonts w:cs="Calibri" w:ascii="Calibri" w:hAnsi="Calibri" w:asciiTheme="minorHAnsi" w:cstheme="minorHAnsi" w:hAnsiTheme="minorHAnsi"/>
                <w:b/>
                <w:bCs/>
                <w:color w:val="000000"/>
                <w:sz w:val="24"/>
              </w:rPr>
              <w:t>CATMAT</w:t>
            </w:r>
          </w:p>
        </w:tc>
        <w:tc>
          <w:tcPr>
            <w:tcW w:w="364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000000" w:fill="EEEEEE" w:val="clear"/>
            <w:tcMar>
              <w:left w:w="20" w:type="dxa"/>
            </w:tcMar>
            <w:vAlign w:val="center"/>
          </w:tcPr>
          <w:p>
            <w:pPr>
              <w:pStyle w:val="Normal"/>
              <w:jc w:val="center"/>
              <w:rPr>
                <w:rFonts w:ascii="Calibri" w:hAnsi="Calibri" w:cs="Calibri" w:asciiTheme="minorHAnsi" w:cstheme="minorHAnsi" w:hAnsiTheme="minorHAnsi"/>
                <w:b/>
                <w:b/>
                <w:bCs/>
                <w:color w:val="000000"/>
                <w:sz w:val="24"/>
              </w:rPr>
            </w:pPr>
            <w:r>
              <w:rPr>
                <w:rFonts w:cs="Calibri" w:ascii="Calibri" w:hAnsi="Calibri" w:asciiTheme="minorHAnsi" w:cstheme="minorHAnsi" w:hAnsiTheme="minorHAnsi"/>
                <w:b/>
                <w:bCs/>
                <w:color w:val="000000"/>
                <w:sz w:val="24"/>
              </w:rPr>
              <w:t>Descrição do Bem ou Serviço</w:t>
            </w:r>
          </w:p>
        </w:tc>
        <w:tc>
          <w:tcPr>
            <w:tcW w:w="828"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000000" w:fill="EEEEEE" w:val="clear"/>
            <w:tcMar>
              <w:left w:w="20" w:type="dxa"/>
            </w:tcMar>
          </w:tcPr>
          <w:p>
            <w:pPr>
              <w:pStyle w:val="Normal"/>
              <w:jc w:val="center"/>
              <w:rPr>
                <w:rFonts w:ascii="Calibri" w:hAnsi="Calibri" w:cs="Calibri" w:asciiTheme="minorHAnsi" w:cstheme="minorHAnsi" w:hAnsiTheme="minorHAnsi"/>
                <w:b/>
                <w:b/>
                <w:bCs/>
                <w:color w:val="000000"/>
                <w:sz w:val="24"/>
              </w:rPr>
            </w:pPr>
            <w:r>
              <w:rPr>
                <w:rFonts w:cs="Calibri" w:cstheme="minorHAnsi" w:ascii="Calibri" w:hAnsi="Calibri"/>
                <w:b/>
                <w:bCs/>
                <w:color w:val="000000"/>
                <w:sz w:val="24"/>
              </w:rPr>
            </w:r>
          </w:p>
        </w:tc>
        <w:tc>
          <w:tcPr>
            <w:tcW w:w="82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000000" w:fill="EEEEEE" w:val="clear"/>
            <w:tcMar>
              <w:left w:w="20" w:type="dxa"/>
            </w:tcMar>
            <w:vAlign w:val="center"/>
          </w:tcPr>
          <w:p>
            <w:pPr>
              <w:pStyle w:val="Normal"/>
              <w:jc w:val="center"/>
              <w:rPr>
                <w:rFonts w:ascii="Calibri" w:hAnsi="Calibri" w:cs="Calibri" w:asciiTheme="minorHAnsi" w:cstheme="minorHAnsi" w:hAnsiTheme="minorHAnsi"/>
                <w:b/>
                <w:b/>
                <w:bCs/>
                <w:color w:val="000000"/>
                <w:sz w:val="24"/>
              </w:rPr>
            </w:pPr>
            <w:r>
              <w:rPr>
                <w:rFonts w:cs="Calibri" w:ascii="Calibri" w:hAnsi="Calibri" w:asciiTheme="minorHAnsi" w:cstheme="minorHAnsi" w:hAnsiTheme="minorHAnsi"/>
                <w:b/>
                <w:bCs/>
                <w:color w:val="000000"/>
                <w:sz w:val="24"/>
              </w:rPr>
              <w:t>QTD</w:t>
            </w:r>
          </w:p>
        </w:tc>
        <w:tc>
          <w:tcPr>
            <w:tcW w:w="117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000000" w:fill="EEEEEE" w:val="clear"/>
            <w:tcMar>
              <w:left w:w="20" w:type="dxa"/>
            </w:tcMar>
            <w:vAlign w:val="center"/>
          </w:tcPr>
          <w:p>
            <w:pPr>
              <w:pStyle w:val="Normal"/>
              <w:jc w:val="center"/>
              <w:rPr>
                <w:rFonts w:ascii="Calibri" w:hAnsi="Calibri" w:cs="Calibri" w:asciiTheme="minorHAnsi" w:cstheme="minorHAnsi" w:hAnsiTheme="minorHAnsi"/>
                <w:b/>
                <w:b/>
                <w:bCs/>
                <w:color w:val="000000"/>
                <w:sz w:val="24"/>
              </w:rPr>
            </w:pPr>
            <w:r>
              <w:rPr>
                <w:rFonts w:cs="Calibri" w:ascii="Calibri" w:hAnsi="Calibri" w:asciiTheme="minorHAnsi" w:cstheme="minorHAnsi" w:hAnsiTheme="minorHAnsi"/>
                <w:b/>
                <w:bCs/>
                <w:color w:val="000000"/>
                <w:sz w:val="24"/>
              </w:rPr>
              <w:t>Valor Unitário</w:t>
            </w:r>
          </w:p>
        </w:tc>
        <w:tc>
          <w:tcPr>
            <w:tcW w:w="127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000000" w:fill="EEEEEE" w:val="clear"/>
            <w:tcMar>
              <w:left w:w="20" w:type="dxa"/>
            </w:tcMar>
            <w:vAlign w:val="center"/>
          </w:tcPr>
          <w:p>
            <w:pPr>
              <w:pStyle w:val="Normal"/>
              <w:jc w:val="center"/>
              <w:rPr>
                <w:rFonts w:ascii="Calibri" w:hAnsi="Calibri" w:cs="Calibri" w:asciiTheme="minorHAnsi" w:cstheme="minorHAnsi" w:hAnsiTheme="minorHAnsi"/>
                <w:b/>
                <w:b/>
                <w:bCs/>
                <w:color w:val="000000"/>
                <w:sz w:val="24"/>
              </w:rPr>
            </w:pPr>
            <w:r>
              <w:rPr>
                <w:rFonts w:cs="Calibri" w:ascii="Calibri" w:hAnsi="Calibri" w:asciiTheme="minorHAnsi" w:cstheme="minorHAnsi" w:hAnsiTheme="minorHAnsi"/>
                <w:b/>
                <w:bCs/>
                <w:color w:val="000000"/>
                <w:sz w:val="24"/>
              </w:rPr>
              <w:t>Valor Total</w:t>
            </w:r>
          </w:p>
        </w:tc>
      </w:tr>
      <w:tr>
        <w:trPr>
          <w:trHeight w:val="320" w:hRule="atLeast"/>
        </w:trPr>
        <w:tc>
          <w:tcPr>
            <w:tcW w:w="63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20" w:type="dxa"/>
            </w:tcMar>
            <w:vAlign w:val="center"/>
          </w:tcPr>
          <w:p>
            <w:pPr>
              <w:pStyle w:val="Normal"/>
              <w:spacing w:lineRule="auto" w:line="276"/>
              <w:jc w:val="center"/>
              <w:rPr>
                <w:rFonts w:ascii="Calibri" w:hAnsi="Calibri" w:cs="Calibri"/>
                <w:sz w:val="24"/>
              </w:rPr>
            </w:pPr>
            <w:r>
              <w:rPr>
                <w:rFonts w:cs="Calibri" w:ascii="Calibri" w:hAnsi="Calibri"/>
                <w:sz w:val="24"/>
              </w:rPr>
              <w:t>1</w:t>
            </w:r>
          </w:p>
        </w:tc>
        <w:tc>
          <w:tcPr>
            <w:tcW w:w="10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20" w:type="dxa"/>
            </w:tcMar>
            <w:vAlign w:val="center"/>
          </w:tcPr>
          <w:p>
            <w:pPr>
              <w:pStyle w:val="Normal"/>
              <w:spacing w:lineRule="auto" w:line="276"/>
              <w:jc w:val="center"/>
              <w:rPr/>
            </w:pPr>
            <w:r>
              <w:rPr>
                <w:rStyle w:val="Fontstyle01"/>
                <w:rFonts w:cs="Calibri" w:ascii="Calibri" w:hAnsi="Calibri"/>
                <w:sz w:val="24"/>
                <w:szCs w:val="24"/>
              </w:rPr>
              <w:t xml:space="preserve">454734 </w:t>
            </w:r>
          </w:p>
        </w:tc>
        <w:tc>
          <w:tcPr>
            <w:tcW w:w="364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20" w:type="dxa"/>
            </w:tcMar>
            <w:vAlign w:val="center"/>
          </w:tcPr>
          <w:p>
            <w:pPr>
              <w:pStyle w:val="SemEspaamento"/>
              <w:spacing w:lineRule="auto" w:line="276"/>
              <w:ind w:hanging="0"/>
              <w:jc w:val="both"/>
              <w:rPr/>
            </w:pPr>
            <w:r>
              <w:rPr>
                <w:rFonts w:cs="Calibri" w:ascii="Calibri" w:hAnsi="Calibri"/>
                <w:sz w:val="24"/>
                <w:szCs w:val="24"/>
                <w:lang w:eastAsia="pt-BR"/>
              </w:rPr>
              <w:t>“</w:t>
            </w:r>
            <w:r>
              <w:rPr>
                <w:rFonts w:cs="Calibri" w:ascii="Calibri" w:hAnsi="Calibri"/>
                <w:b/>
                <w:i/>
                <w:sz w:val="24"/>
                <w:szCs w:val="24"/>
                <w:lang w:eastAsia="pt-BR"/>
              </w:rPr>
              <w:t>Órtese tipo AFO para imobilização do tornozelo direito, de polipropileno, revestida de plastozote, moldada e feita sob medida</w:t>
            </w:r>
            <w:r>
              <w:rPr>
                <w:rFonts w:cs="Calibri" w:ascii="Calibri" w:hAnsi="Calibri"/>
                <w:sz w:val="24"/>
                <w:szCs w:val="24"/>
                <w:lang w:eastAsia="pt-BR"/>
              </w:rPr>
              <w:t>”</w:t>
            </w:r>
          </w:p>
        </w:tc>
        <w:tc>
          <w:tcPr>
            <w:tcW w:w="828"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fill="auto" w:val="clear"/>
            <w:tcMar>
              <w:left w:w="20" w:type="dxa"/>
            </w:tcMar>
            <w:vAlign w:val="center"/>
          </w:tcPr>
          <w:p>
            <w:pPr>
              <w:pStyle w:val="Normal"/>
              <w:spacing w:lineRule="auto" w:line="276"/>
              <w:jc w:val="center"/>
              <w:rPr>
                <w:rFonts w:ascii="Calibri" w:hAnsi="Calibri" w:cs="Calibri"/>
                <w:sz w:val="24"/>
              </w:rPr>
            </w:pPr>
            <w:r>
              <w:rPr>
                <w:rFonts w:cs="Calibri" w:ascii="Calibri" w:hAnsi="Calibri"/>
                <w:sz w:val="24"/>
              </w:rPr>
              <w:t>UN</w:t>
            </w:r>
          </w:p>
        </w:tc>
        <w:tc>
          <w:tcPr>
            <w:tcW w:w="82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20" w:type="dxa"/>
            </w:tcMar>
            <w:vAlign w:val="center"/>
          </w:tcPr>
          <w:p>
            <w:pPr>
              <w:pStyle w:val="Normal"/>
              <w:spacing w:lineRule="auto" w:line="276"/>
              <w:jc w:val="center"/>
              <w:rPr>
                <w:rFonts w:ascii="Calibri" w:hAnsi="Calibri" w:cs="Calibri"/>
                <w:sz w:val="24"/>
              </w:rPr>
            </w:pPr>
            <w:r>
              <w:rPr>
                <w:rFonts w:cs="Calibri" w:ascii="Calibri" w:hAnsi="Calibri"/>
                <w:sz w:val="24"/>
              </w:rPr>
              <w:t>1</w:t>
            </w:r>
          </w:p>
        </w:tc>
        <w:tc>
          <w:tcPr>
            <w:tcW w:w="1177"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20" w:type="dxa"/>
            </w:tcMar>
            <w:vAlign w:val="center"/>
          </w:tcPr>
          <w:p>
            <w:pPr>
              <w:pStyle w:val="Normal"/>
              <w:suppressAutoHyphens w:val="false"/>
              <w:spacing w:lineRule="auto" w:line="240" w:before="0" w:after="0"/>
              <w:jc w:val="center"/>
              <w:rPr>
                <w:rFonts w:eastAsia="Times New Roman" w:cs="Calibri"/>
                <w:color w:val="000000"/>
                <w:sz w:val="24"/>
                <w:szCs w:val="24"/>
                <w:lang w:eastAsia="pt-BR"/>
              </w:rPr>
            </w:pPr>
            <w:r>
              <w:rPr>
                <w:rFonts w:eastAsia="Times New Roman" w:cs="Calibri" w:ascii="Calibri" w:hAnsi="Calibri"/>
                <w:color w:val="000000"/>
                <w:sz w:val="24"/>
                <w:szCs w:val="24"/>
                <w:lang w:eastAsia="pt-BR"/>
              </w:rPr>
              <w:t>2.338,33</w:t>
            </w:r>
          </w:p>
        </w:tc>
        <w:tc>
          <w:tcPr>
            <w:tcW w:w="127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20" w:type="dxa"/>
            </w:tcMar>
            <w:vAlign w:val="center"/>
          </w:tcPr>
          <w:p>
            <w:pPr>
              <w:pStyle w:val="Normal"/>
              <w:suppressAutoHyphens w:val="false"/>
              <w:spacing w:lineRule="auto" w:line="240" w:before="0" w:after="0"/>
              <w:jc w:val="center"/>
              <w:rPr>
                <w:rFonts w:eastAsia="Times New Roman" w:cs="Calibri"/>
                <w:color w:val="000000"/>
                <w:sz w:val="24"/>
                <w:szCs w:val="24"/>
                <w:lang w:eastAsia="pt-BR"/>
              </w:rPr>
            </w:pPr>
            <w:r>
              <w:rPr>
                <w:rFonts w:eastAsia="Times New Roman" w:cs="Calibri" w:ascii="Calibri" w:hAnsi="Calibri"/>
                <w:color w:val="000000"/>
                <w:sz w:val="24"/>
                <w:szCs w:val="24"/>
                <w:lang w:eastAsia="pt-BR"/>
              </w:rPr>
              <w:t>2.338,33</w:t>
            </w:r>
          </w:p>
        </w:tc>
      </w:tr>
      <w:tr>
        <w:trPr>
          <w:trHeight w:val="50" w:hRule="atLeast"/>
        </w:trPr>
        <w:tc>
          <w:tcPr>
            <w:tcW w:w="8149" w:type="dxa"/>
            <w:gridSpan w:val="6"/>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20" w:type="dxa"/>
            </w:tcMar>
          </w:tcPr>
          <w:p>
            <w:pPr>
              <w:pStyle w:val="Normal"/>
              <w:jc w:val="center"/>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VALOR TOTAL DOS ITENS</w:t>
            </w:r>
          </w:p>
        </w:tc>
        <w:tc>
          <w:tcPr>
            <w:tcW w:w="127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20" w:type="dxa"/>
            </w:tcMar>
          </w:tcPr>
          <w:p>
            <w:pPr>
              <w:pStyle w:val="Normal"/>
              <w:suppressAutoHyphens w:val="false"/>
              <w:spacing w:lineRule="auto" w:line="240" w:before="0" w:after="0"/>
              <w:jc w:val="center"/>
              <w:rPr>
                <w:rFonts w:eastAsia="Times New Roman" w:cs="Calibri"/>
                <w:color w:val="000000"/>
                <w:sz w:val="24"/>
                <w:szCs w:val="24"/>
                <w:lang w:eastAsia="pt-BR"/>
              </w:rPr>
            </w:pPr>
            <w:r>
              <w:rPr>
                <w:rFonts w:eastAsia="Times New Roman" w:cs="Calibri" w:ascii="Calibri" w:hAnsi="Calibri"/>
                <w:color w:val="000000"/>
                <w:sz w:val="24"/>
                <w:szCs w:val="24"/>
                <w:lang w:eastAsia="pt-BR"/>
              </w:rPr>
              <w:t>2.338,33</w:t>
            </w:r>
          </w:p>
        </w:tc>
      </w:tr>
    </w:tbl>
    <w:p>
      <w:pPr>
        <w:pStyle w:val="PADRO"/>
        <w:keepNext/>
        <w:widowControl/>
        <w:numPr>
          <w:ilvl w:val="1"/>
          <w:numId w:val="1"/>
        </w:numPr>
        <w:shd w:val="clear" w:color="auto" w:fill="auto"/>
        <w:spacing w:lineRule="auto" w:line="240" w:before="120" w:after="120"/>
        <w:rPr/>
      </w:pPr>
      <w:r>
        <w:rPr>
          <w:rFonts w:cs="Calibri" w:ascii="Calibri" w:hAnsi="Calibri" w:asciiTheme="minorHAnsi" w:cstheme="minorHAnsi" w:hAnsiTheme="minorHAnsi"/>
          <w:sz w:val="24"/>
        </w:rPr>
        <w:t xml:space="preserve">O critério de julgamento adotado será o </w:t>
      </w:r>
      <w:r>
        <w:rPr>
          <w:rFonts w:cs="Calibri" w:ascii="Calibri" w:hAnsi="Calibri" w:asciiTheme="minorHAnsi" w:cstheme="minorHAnsi" w:hAnsiTheme="minorHAnsi"/>
          <w:iCs/>
          <w:sz w:val="24"/>
        </w:rPr>
        <w:t>menor preço,</w:t>
      </w:r>
      <w:r>
        <w:rPr>
          <w:rFonts w:cs="Calibri" w:ascii="Calibri" w:hAnsi="Calibri" w:asciiTheme="minorHAnsi" w:cstheme="minorHAnsi" w:hAnsiTheme="minorHAnsi"/>
          <w:i/>
          <w:iCs/>
          <w:color w:val="FF0000"/>
          <w:sz w:val="24"/>
        </w:rPr>
        <w:t xml:space="preserve"> </w:t>
      </w:r>
      <w:r>
        <w:rPr>
          <w:rFonts w:cs="Calibri" w:ascii="Calibri" w:hAnsi="Calibri" w:asciiTheme="minorHAnsi" w:cstheme="minorHAnsi" w:hAnsiTheme="minorHAnsi"/>
          <w:sz w:val="24"/>
        </w:rPr>
        <w:t>observadas as exigências contidas neste Aviso de Contratação Direta e seus Anexos quanto às especificações do objeto.</w:t>
      </w:r>
    </w:p>
    <w:p>
      <w:pPr>
        <w:pStyle w:val="PADRO"/>
        <w:widowControl/>
        <w:shd w:val="clear" w:color="auto" w:fill="auto"/>
        <w:spacing w:lineRule="auto" w:line="240" w:before="120" w:after="120"/>
        <w:rPr>
          <w:rFonts w:ascii="Calibri" w:hAnsi="Calibri" w:cs="Calibri" w:asciiTheme="minorHAnsi" w:cstheme="minorHAnsi" w:hAnsiTheme="minorHAnsi"/>
          <w:sz w:val="24"/>
        </w:rPr>
      </w:pPr>
      <w:r>
        <w:rPr>
          <w:rFonts w:cs="Calibri" w:cstheme="minorHAnsi" w:ascii="Calibri" w:hAnsi="Calibri"/>
          <w:sz w:val="24"/>
        </w:rPr>
      </w:r>
    </w:p>
    <w:p>
      <w:pPr>
        <w:pStyle w:val="PADRO"/>
        <w:widowControl/>
        <w:shd w:val="clear" w:color="auto" w:fill="auto"/>
        <w:spacing w:lineRule="auto" w:line="240" w:before="120" w:after="120"/>
        <w:rPr>
          <w:rFonts w:ascii="Calibri" w:hAnsi="Calibri" w:cs="Calibri" w:asciiTheme="minorHAnsi" w:cstheme="minorHAnsi" w:hAnsiTheme="minorHAnsi"/>
          <w:sz w:val="24"/>
        </w:rPr>
      </w:pPr>
      <w:r>
        <w:rPr>
          <w:rFonts w:cs="Calibri" w:cstheme="minorHAnsi" w:ascii="Calibri" w:hAnsi="Calibri"/>
          <w:sz w:val="24"/>
        </w:rPr>
      </w:r>
    </w:p>
    <w:p>
      <w:pPr>
        <w:pStyle w:val="PADRO"/>
        <w:widowControl/>
        <w:shd w:val="clear" w:color="auto" w:fill="auto"/>
        <w:spacing w:lineRule="auto" w:line="240" w:before="120" w:after="120"/>
        <w:rPr>
          <w:rFonts w:ascii="Calibri" w:hAnsi="Calibri" w:cs="Calibri" w:asciiTheme="minorHAnsi" w:cstheme="minorHAnsi" w:hAnsiTheme="minorHAnsi"/>
          <w:sz w:val="24"/>
        </w:rPr>
      </w:pPr>
      <w:r>
        <w:rPr>
          <w:rFonts w:cs="Calibri" w:cstheme="minorHAnsi" w:ascii="Calibri" w:hAnsi="Calibri"/>
          <w:sz w:val="24"/>
        </w:rPr>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PARTICIPAÇÃO NA DISPENSA ELETRÔNICA.</w:t>
      </w:r>
    </w:p>
    <w:p>
      <w:pPr>
        <w:pStyle w:val="Normal"/>
        <w:numPr>
          <w:ilvl w:val="1"/>
          <w:numId w:val="1"/>
        </w:numPr>
        <w:snapToGrid w:val="false"/>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A participação na presente dispensa eletrônica se dará mediante </w:t>
      </w:r>
      <w:r>
        <w:rPr>
          <w:rFonts w:cs="Calibri" w:ascii="Calibri" w:hAnsi="Calibri" w:asciiTheme="minorHAnsi" w:cstheme="minorHAnsi" w:hAnsiTheme="minorHAnsi"/>
          <w:bCs/>
          <w:sz w:val="24"/>
        </w:rPr>
        <w:t xml:space="preserve">Sistema de Dispensa Eletrônica </w:t>
      </w:r>
      <w:r>
        <w:rPr>
          <w:rFonts w:cs="Calibri" w:ascii="Calibri" w:hAnsi="Calibri" w:asciiTheme="minorHAnsi" w:cstheme="minorHAnsi" w:hAnsiTheme="minorHAnsi"/>
          <w:sz w:val="24"/>
        </w:rPr>
        <w:t xml:space="preserve">integrante do Sistema de Compras do Governo Federal – Comprasnet 4.0, disponível no </w:t>
      </w:r>
      <w:r>
        <w:rPr>
          <w:rFonts w:cs="Calibri" w:ascii="Calibri" w:hAnsi="Calibri" w:asciiTheme="minorHAnsi" w:cstheme="minorHAnsi" w:hAnsiTheme="minorHAnsi"/>
          <w:bCs/>
          <w:sz w:val="24"/>
        </w:rPr>
        <w:t>endereço eletrônico</w:t>
      </w:r>
      <w:r>
        <w:rPr>
          <w:rFonts w:cs="Calibri" w:ascii="Calibri" w:hAnsi="Calibri" w:asciiTheme="minorHAnsi" w:cstheme="minorHAnsi" w:hAnsiTheme="minorHAnsi"/>
          <w:color w:val="FF0000"/>
          <w:sz w:val="24"/>
        </w:rPr>
        <w:t>.</w:t>
      </w:r>
    </w:p>
    <w:p>
      <w:pPr>
        <w:pStyle w:val="Normal"/>
        <w:numPr>
          <w:ilvl w:val="2"/>
          <w:numId w:val="1"/>
        </w:numPr>
        <w:snapToGrid w:val="false"/>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before="120" w:after="120"/>
        <w:ind w:left="425" w:hanging="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Não poderão participar desta dispensa os fornecedores:</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não atendam às condições deste Aviso de Contratação Direta e seu(s) anexo(s);</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estrangeiros que não tenham representação legal no Brasil com poderes expressos para receber citação e responder administrativa ou judicialmente;</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se enquadrem nas seguintes vedações:</w:t>
      </w:r>
    </w:p>
    <w:p>
      <w:pPr>
        <w:pStyle w:val="Normal"/>
        <w:numPr>
          <w:ilvl w:val="3"/>
          <w:numId w:val="3"/>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3"/>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pessoa física ou jurídica que se encontre, ao tempo da contratação, impossibilitada de contratar em decorrência de sanção que lhe foi imposta;</w:t>
      </w:r>
    </w:p>
    <w:p>
      <w:pPr>
        <w:pStyle w:val="Normal"/>
        <w:numPr>
          <w:ilvl w:val="3"/>
          <w:numId w:val="3"/>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3"/>
        </w:numPr>
        <w:spacing w:before="120" w:after="120"/>
        <w:jc w:val="both"/>
        <w:rPr/>
      </w:pPr>
      <w:r>
        <w:rPr>
          <w:rFonts w:cs="Calibri" w:ascii="Calibri" w:hAnsi="Calibri" w:asciiTheme="minorHAnsi" w:cstheme="minorHAnsi" w:hAnsiTheme="minorHAnsi"/>
          <w:color w:val="000000"/>
          <w:sz w:val="24"/>
        </w:rPr>
        <w:t>empresas controladoras, controladas ou coligadas, nos termos da </w:t>
      </w:r>
      <w:hyperlink r:id="rId3">
        <w:r>
          <w:rPr>
            <w:rStyle w:val="LinkdaInternet"/>
            <w:rFonts w:eastAsia="Calibri" w:cs="Calibri" w:ascii="Calibri" w:hAnsi="Calibri" w:asciiTheme="minorHAnsi" w:cstheme="minorHAnsi" w:hAnsiTheme="minorHAnsi"/>
            <w:sz w:val="24"/>
          </w:rPr>
          <w:t>Lei nº 6.404, de 15 de dezembro de 1976</w:t>
        </w:r>
      </w:hyperlink>
      <w:r>
        <w:rPr>
          <w:rFonts w:cs="Calibri" w:ascii="Calibri" w:hAnsi="Calibri" w:asciiTheme="minorHAnsi" w:cstheme="minorHAnsi" w:hAnsiTheme="minorHAnsi"/>
          <w:color w:val="000000"/>
          <w:sz w:val="24"/>
        </w:rPr>
        <w:t>, concorrendo entre si;</w:t>
      </w:r>
    </w:p>
    <w:p>
      <w:pPr>
        <w:pStyle w:val="Normal"/>
        <w:numPr>
          <w:ilvl w:val="3"/>
          <w:numId w:val="3"/>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Equiparam-se aos autores do projeto as empresas integrantes do mesmo grupo econômico;</w:t>
      </w:r>
    </w:p>
    <w:p>
      <w:pPr>
        <w:pStyle w:val="Normal"/>
        <w:numPr>
          <w:ilvl w:val="3"/>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organizações da Sociedade Civil de Interesse Público - OSCIP, atuando nessa condição (Acórdão nº 746/2014-TCU-Plenário); e</w:t>
      </w:r>
    </w:p>
    <w:p>
      <w:pPr>
        <w:pStyle w:val="Normal"/>
        <w:numPr>
          <w:ilvl w:val="2"/>
          <w:numId w:val="1"/>
        </w:numPr>
        <w:spacing w:before="120" w:after="120"/>
        <w:jc w:val="both"/>
        <w:rPr>
          <w:rFonts w:ascii="Calibri" w:hAnsi="Calibri" w:cs="Calibri" w:asciiTheme="minorHAnsi" w:cstheme="minorHAnsi" w:hAnsiTheme="minorHAnsi"/>
          <w:sz w:val="24"/>
        </w:rPr>
      </w:pPr>
      <w:bookmarkStart w:id="2" w:name="_Hlk519667815"/>
      <w:bookmarkEnd w:id="2"/>
      <w:r>
        <w:rPr>
          <w:rFonts w:cs="Calibri" w:ascii="Calibri" w:hAnsi="Calibri" w:asciiTheme="minorHAnsi" w:cstheme="minorHAnsi" w:hAnsiTheme="minorHAnsi"/>
          <w:sz w:val="24"/>
        </w:rPr>
        <w:t>sociedades cooperativas.</w:t>
      </w:r>
    </w:p>
    <w:p>
      <w:pPr>
        <w:pStyle w:val="Normal"/>
        <w:numPr>
          <w:ilvl w:val="1"/>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before="120" w:after="120"/>
        <w:jc w:val="both"/>
        <w:rPr>
          <w:rFonts w:ascii="Calibri" w:hAnsi="Calibri" w:cs="Calibri" w:asciiTheme="minorHAnsi" w:cstheme="minorHAnsi" w:hAnsiTheme="minorHAnsi"/>
          <w:iCs/>
          <w:sz w:val="24"/>
        </w:rPr>
      </w:pPr>
      <w:r>
        <w:rPr>
          <w:rFonts w:cs="Calibri" w:ascii="Calibri" w:hAnsi="Calibri" w:asciiTheme="minorHAnsi" w:cstheme="minorHAnsi" w:hAnsiTheme="minorHAnsi"/>
          <w:iCs/>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INGRESSO NA DISPENSA ELETRÔNICA E CADASTRAMENTO DA PROPOSTA INICIAL</w:t>
      </w:r>
    </w:p>
    <w:p>
      <w:pPr>
        <w:pStyle w:val="Normal"/>
        <w:numPr>
          <w:ilvl w:val="1"/>
          <w:numId w:val="1"/>
        </w:numPr>
        <w:snapToGrid w:val="false"/>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O ingresso do fornecedor na disputa da dispensa eletrônica se dará com o cadastramento de sua proposta inicial, na forma deste item.</w:t>
      </w:r>
    </w:p>
    <w:p>
      <w:pPr>
        <w:pStyle w:val="Normal"/>
        <w:numPr>
          <w:ilvl w:val="1"/>
          <w:numId w:val="1"/>
        </w:numPr>
        <w:snapToGrid w:val="false"/>
        <w:spacing w:before="120" w:after="120"/>
        <w:ind w:left="425" w:hanging="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Todas as especificações do </w:t>
      </w:r>
      <w:r>
        <w:rPr>
          <w:rFonts w:cs="Calibri" w:ascii="Calibri" w:hAnsi="Calibri" w:asciiTheme="minorHAnsi" w:cstheme="minorHAnsi" w:hAnsiTheme="minorHAnsi"/>
          <w:color w:val="000000" w:themeColor="text1"/>
          <w:sz w:val="24"/>
        </w:rPr>
        <w:t>objeto</w:t>
      </w:r>
      <w:r>
        <w:rPr>
          <w:rFonts w:cs="Calibri" w:ascii="Calibri" w:hAnsi="Calibri" w:asciiTheme="minorHAnsi" w:cstheme="minorHAnsi" w:hAnsiTheme="minorHAnsi"/>
          <w:sz w:val="24"/>
        </w:rPr>
        <w:t xml:space="preserve"> contidas na proposta, em especial o preço, vinculam a Contratada.</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Independentemente do percentual de tributo inserido na planilha, no pagamento serão retidos na fonte os percentuais estabelecidos na legislação vigente.</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apresentação das propostas implica obrigatoriedade do cumprimento das disposições nelas contidas, em conformidade com o que dispõe o Termo de Referência, Projeto Básico,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before="120" w:after="120"/>
        <w:ind w:left="425" w:hanging="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sz w:val="24"/>
        </w:rPr>
        <w:t xml:space="preserve">Uma vez enviada a proposta no sistema, os fornecedores </w:t>
      </w:r>
      <w:r>
        <w:rPr>
          <w:rFonts w:cs="Calibri" w:ascii="Calibri" w:hAnsi="Calibri" w:asciiTheme="minorHAnsi" w:cstheme="minorHAnsi" w:hAnsiTheme="minorHAnsi"/>
          <w:b/>
          <w:bCs/>
          <w:sz w:val="24"/>
        </w:rPr>
        <w:t xml:space="preserve">NÃO </w:t>
      </w:r>
      <w:r>
        <w:rPr>
          <w:rFonts w:cs="Calibri" w:ascii="Calibri" w:hAnsi="Calibri" w:asciiTheme="minorHAnsi" w:cstheme="minorHAnsi" w:hAnsiTheme="minorHAnsi"/>
          <w:sz w:val="24"/>
        </w:rPr>
        <w:t>poderão retirá-la, substituí-la ou modificá-la</w:t>
      </w:r>
      <w:r>
        <w:rPr>
          <w:rFonts w:cs="Calibri" w:ascii="Calibri" w:hAnsi="Calibri" w:asciiTheme="minorHAnsi" w:cstheme="minorHAnsi" w:hAnsiTheme="minorHAnsi"/>
          <w:color w:val="000000"/>
          <w:sz w:val="24"/>
        </w:rPr>
        <w:t>;</w:t>
      </w:r>
    </w:p>
    <w:p>
      <w:pPr>
        <w:pStyle w:val="Normal"/>
        <w:numPr>
          <w:ilvl w:val="1"/>
          <w:numId w:val="1"/>
        </w:numPr>
        <w:spacing w:before="120" w:after="120"/>
        <w:ind w:left="425" w:hanging="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sz w:val="24"/>
        </w:rPr>
        <w:t xml:space="preserve">No cadastramento da proposta inicial, o fornecedor deverá, também,assinalar “sim” ou “não” em campo </w:t>
      </w:r>
      <w:r>
        <w:rPr>
          <w:rFonts w:cs="Calibri" w:ascii="Calibri" w:hAnsi="Calibri" w:asciiTheme="minorHAnsi" w:cstheme="minorHAnsi" w:hAnsiTheme="minorHAnsi"/>
          <w:sz w:val="24"/>
        </w:rPr>
        <w:t>próprio</w:t>
      </w:r>
      <w:r>
        <w:rPr>
          <w:rFonts w:cs="Calibri" w:ascii="Calibri" w:hAnsi="Calibri" w:asciiTheme="minorHAnsi" w:cstheme="minorHAnsi" w:hAnsiTheme="minorHAnsi"/>
          <w:color w:val="000000"/>
          <w:sz w:val="24"/>
        </w:rPr>
        <w:t xml:space="preserve"> do sistema eletrônico, às seguintes declarações:</w:t>
      </w:r>
    </w:p>
    <w:p>
      <w:pPr>
        <w:pStyle w:val="ListParagraph"/>
        <w:numPr>
          <w:ilvl w:val="0"/>
          <w:numId w:val="2"/>
        </w:numPr>
        <w:tabs>
          <w:tab w:val="left" w:pos="1440" w:leader="none"/>
        </w:tabs>
        <w:snapToGrid w:val="false"/>
        <w:spacing w:before="120" w:after="120"/>
        <w:jc w:val="both"/>
        <w:rPr>
          <w:rFonts w:ascii="Calibri" w:hAnsi="Calibri" w:cs="Calibri" w:asciiTheme="minorHAnsi" w:cstheme="minorHAnsi" w:hAnsiTheme="minorHAnsi"/>
          <w:bCs/>
          <w:vanish/>
          <w:color w:val="000000"/>
          <w:sz w:val="24"/>
        </w:rPr>
      </w:pPr>
      <w:r>
        <w:rPr>
          <w:rFonts w:cs="Calibri" w:cstheme="minorHAnsi" w:ascii="Calibri" w:hAnsi="Calibri"/>
          <w:bCs/>
          <w:vanish/>
          <w:color w:val="000000"/>
          <w:sz w:val="24"/>
        </w:rPr>
      </w:r>
    </w:p>
    <w:p>
      <w:pPr>
        <w:pStyle w:val="ListParagraph"/>
        <w:numPr>
          <w:ilvl w:val="1"/>
          <w:numId w:val="2"/>
        </w:numPr>
        <w:tabs>
          <w:tab w:val="left" w:pos="1440" w:leader="none"/>
        </w:tabs>
        <w:snapToGrid w:val="false"/>
        <w:spacing w:before="120" w:after="120"/>
        <w:jc w:val="both"/>
        <w:rPr>
          <w:rFonts w:ascii="Calibri" w:hAnsi="Calibri" w:cs="Calibri" w:asciiTheme="minorHAnsi" w:cstheme="minorHAnsi" w:hAnsiTheme="minorHAnsi"/>
          <w:bCs/>
          <w:vanish/>
          <w:color w:val="000000"/>
          <w:sz w:val="24"/>
        </w:rPr>
      </w:pPr>
      <w:r>
        <w:rPr>
          <w:rFonts w:cs="Calibri" w:cstheme="minorHAnsi" w:ascii="Calibri" w:hAnsi="Calibri"/>
          <w:bCs/>
          <w:vanish/>
          <w:color w:val="000000"/>
          <w:sz w:val="24"/>
        </w:rPr>
      </w:r>
    </w:p>
    <w:p>
      <w:pPr>
        <w:pStyle w:val="ListParagraph"/>
        <w:numPr>
          <w:ilvl w:val="1"/>
          <w:numId w:val="2"/>
        </w:numPr>
        <w:tabs>
          <w:tab w:val="left" w:pos="1440" w:leader="none"/>
        </w:tabs>
        <w:snapToGrid w:val="false"/>
        <w:spacing w:before="120" w:after="120"/>
        <w:jc w:val="both"/>
        <w:rPr>
          <w:rFonts w:ascii="Calibri" w:hAnsi="Calibri" w:cs="Calibri" w:asciiTheme="minorHAnsi" w:cstheme="minorHAnsi" w:hAnsiTheme="minorHAnsi"/>
          <w:bCs/>
          <w:vanish/>
          <w:color w:val="000000"/>
          <w:sz w:val="24"/>
        </w:rPr>
      </w:pPr>
      <w:r>
        <w:rPr>
          <w:rFonts w:cs="Calibri" w:cstheme="minorHAnsi" w:ascii="Calibri" w:hAnsi="Calibri"/>
          <w:bCs/>
          <w:vanish/>
          <w:color w:val="000000"/>
          <w:sz w:val="24"/>
        </w:rPr>
      </w:r>
    </w:p>
    <w:p>
      <w:pPr>
        <w:pStyle w:val="ListParagraph"/>
        <w:numPr>
          <w:ilvl w:val="1"/>
          <w:numId w:val="2"/>
        </w:numPr>
        <w:tabs>
          <w:tab w:val="left" w:pos="1440" w:leader="none"/>
        </w:tabs>
        <w:snapToGrid w:val="false"/>
        <w:spacing w:before="120" w:after="120"/>
        <w:jc w:val="both"/>
        <w:rPr>
          <w:rFonts w:ascii="Calibri" w:hAnsi="Calibri" w:cs="Calibri" w:asciiTheme="minorHAnsi" w:cstheme="minorHAnsi" w:hAnsiTheme="minorHAnsi"/>
          <w:bCs/>
          <w:vanish/>
          <w:color w:val="000000"/>
          <w:sz w:val="24"/>
        </w:rPr>
      </w:pPr>
      <w:r>
        <w:rPr>
          <w:rFonts w:cs="Calibri" w:cstheme="minorHAnsi" w:ascii="Calibri" w:hAnsi="Calibri"/>
          <w:bCs/>
          <w:vanish/>
          <w:color w:val="000000"/>
          <w:sz w:val="24"/>
        </w:rPr>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inexistem fatos impeditivos para sua habilitação no certame, ciente da obrigatoriedade de declarar ocorrências posteriores;</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 xml:space="preserve">que </w:t>
      </w:r>
      <w:r>
        <w:rPr>
          <w:rFonts w:cs="Calibri" w:ascii="Calibri" w:hAnsi="Calibri" w:asciiTheme="minorHAnsi" w:cstheme="minorHAnsi" w:hAnsiTheme="minorHAnsi"/>
          <w:color w:val="000000"/>
          <w:sz w:val="24"/>
        </w:rPr>
        <w:t>cumpre</w:t>
      </w:r>
      <w:r>
        <w:rPr>
          <w:rFonts w:cs="Calibri" w:ascii="Calibri" w:hAnsi="Calibri" w:asciiTheme="minorHAnsi" w:cstheme="minorHAnsi" w:hAnsiTheme="minorHAnsi"/>
          <w:color w:val="000000" w:themeColor="text1"/>
          <w:sz w:val="24"/>
        </w:rPr>
        <w:t xml:space="preserve"> os requisitos estabelecidos no artigo 3° da Lei Complementar nº 123, de 2006, estando apto a usufruir do tratamento favorecido estabelecido em seus arts. 42 a 49.</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está ciente e concorda com as condições contidas no Aviso de Contratação Direta e seus anexos;</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assume a responsabilidade pelas transações que forem efetuadas no sistema, assumindo como firmes e verdadeiras;</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cumpre as exigências de reserva de cargos para pessoa com deficiência e para reabilitado da Previdência Social, de que trata o art. 93 da Lei nº 8.213/91.</w:t>
      </w:r>
    </w:p>
    <w:p>
      <w:pPr>
        <w:pStyle w:val="Normal"/>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before="120" w:after="120"/>
        <w:jc w:val="both"/>
        <w:rPr>
          <w:rFonts w:ascii="Calibri" w:hAnsi="Calibri" w:cs="Calibri" w:asciiTheme="minorHAnsi" w:cstheme="minorHAnsi" w:hAnsiTheme="minorHAnsi"/>
          <w:i/>
          <w:i/>
          <w:color w:val="FF0000"/>
          <w:sz w:val="24"/>
        </w:rPr>
      </w:pPr>
      <w:r>
        <w:rPr>
          <w:rFonts w:cs="Calibri" w:ascii="Calibri" w:hAnsi="Calibri" w:asciiTheme="minorHAnsi" w:cstheme="minorHAnsi" w:hAnsiTheme="minorHAnsi"/>
          <w:i/>
          <w:color w:val="FF0000"/>
          <w:sz w:val="24"/>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before="120" w:after="120"/>
        <w:jc w:val="both"/>
        <w:rPr>
          <w:rFonts w:ascii="Calibri" w:hAnsi="Calibri" w:cs="Calibri" w:asciiTheme="minorHAnsi" w:cstheme="minorHAnsi" w:hAnsiTheme="minorHAnsi"/>
          <w:i/>
          <w:i/>
          <w:color w:val="FF0000"/>
          <w:sz w:val="24"/>
        </w:rPr>
      </w:pPr>
      <w:r>
        <w:rPr>
          <w:rFonts w:cs="Calibri" w:ascii="Calibri" w:hAnsi="Calibri" w:asciiTheme="minorHAnsi" w:cstheme="minorHAnsi" w:hAnsiTheme="minorHAnsi"/>
          <w:i/>
          <w:color w:val="FF0000"/>
          <w:sz w:val="24"/>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before="120" w:after="120"/>
        <w:jc w:val="both"/>
        <w:rPr>
          <w:rFonts w:ascii="Calibri" w:hAnsi="Calibri" w:cs="Calibri" w:asciiTheme="minorHAnsi" w:cstheme="minorHAnsi" w:hAnsiTheme="minorHAnsi"/>
          <w:i/>
          <w:i/>
          <w:color w:val="FF0000"/>
          <w:sz w:val="24"/>
        </w:rPr>
      </w:pPr>
      <w:r>
        <w:rPr>
          <w:rFonts w:cs="Calibri" w:ascii="Calibri" w:hAnsi="Calibri" w:asciiTheme="minorHAnsi" w:cstheme="minorHAnsi" w:hAnsiTheme="minorHAnsi"/>
          <w:i/>
          <w:color w:val="FF0000"/>
          <w:sz w:val="24"/>
        </w:rPr>
        <w:t>Sem prejuízo do disposto acima, os lances poderão ser enviados manualmente, na forma da seção respectiva deste Aviso de Contratação Direta;</w:t>
      </w:r>
    </w:p>
    <w:p>
      <w:pPr>
        <w:pStyle w:val="Normal"/>
        <w:numPr>
          <w:ilvl w:val="2"/>
          <w:numId w:val="1"/>
        </w:numPr>
        <w:spacing w:before="120" w:after="120"/>
        <w:jc w:val="both"/>
        <w:rPr>
          <w:rFonts w:ascii="Calibri" w:hAnsi="Calibri" w:cs="Calibri" w:asciiTheme="minorHAnsi" w:cstheme="minorHAnsi" w:hAnsiTheme="minorHAnsi"/>
          <w:i/>
          <w:i/>
          <w:color w:val="FF0000"/>
          <w:sz w:val="24"/>
        </w:rPr>
      </w:pPr>
      <w:r>
        <w:rPr>
          <w:rFonts w:cs="Calibri" w:ascii="Calibri" w:hAnsi="Calibri" w:asciiTheme="minorHAnsi" w:cstheme="minorHAnsi" w:hAnsiTheme="minorHAnsi"/>
          <w:i/>
          <w:color w:val="FF0000"/>
          <w:sz w:val="24"/>
        </w:rPr>
        <w:t>O valor final mínimo poderá ser alterado pelo fornecedor durante a fase de disputa, desde que não assuma valor superior a lance já registrado por ele no sistema.</w:t>
      </w:r>
    </w:p>
    <w:p>
      <w:pPr>
        <w:pStyle w:val="Normal"/>
        <w:numPr>
          <w:ilvl w:val="2"/>
          <w:numId w:val="1"/>
        </w:numPr>
        <w:spacing w:before="120" w:after="120"/>
        <w:jc w:val="both"/>
        <w:rPr>
          <w:rFonts w:ascii="Calibri" w:hAnsi="Calibri" w:cs="Calibri" w:asciiTheme="minorHAnsi" w:cstheme="minorHAnsi" w:hAnsiTheme="minorHAnsi"/>
          <w:i/>
          <w:i/>
          <w:color w:val="FF0000"/>
          <w:sz w:val="24"/>
        </w:rPr>
      </w:pPr>
      <w:r>
        <w:rPr>
          <w:rFonts w:cs="Calibri" w:ascii="Calibri" w:hAnsi="Calibri" w:asciiTheme="minorHAnsi" w:cstheme="minorHAnsi" w:hAnsiTheme="minorHAnsi"/>
          <w:i/>
          <w:color w:val="FF0000"/>
          <w:sz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FASE DE LANCES</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 xml:space="preserve">A partir das 8:00h da data estabelecida neste Aviso de Contratação Direta, a sessão pública será automaticamente aberta pelo sistema para o envio de lances públicos e sucessivos, </w:t>
      </w:r>
      <w:r>
        <w:rPr>
          <w:rFonts w:cs="Calibri" w:ascii="Calibri" w:hAnsi="Calibri" w:asciiTheme="minorHAnsi" w:cstheme="minorHAnsi" w:hAnsiTheme="minorHAnsi"/>
          <w:bCs/>
          <w:sz w:val="24"/>
          <w:lang w:eastAsia="en-US"/>
        </w:rPr>
        <w:t>exclusivamente por meio do sistema eletrônico</w:t>
      </w:r>
      <w:r>
        <w:rPr>
          <w:rFonts w:cs="Calibri" w:ascii="Calibri" w:hAnsi="Calibri" w:asciiTheme="minorHAnsi" w:cstheme="minorHAnsi" w:hAnsiTheme="minorHAnsi"/>
          <w:sz w:val="24"/>
          <w:lang w:eastAsia="en-US"/>
        </w:rPr>
        <w:t xml:space="preserve">, </w:t>
      </w:r>
      <w:r>
        <w:rPr>
          <w:rFonts w:cs="Calibri" w:ascii="Calibri" w:hAnsi="Calibri" w:asciiTheme="minorHAnsi" w:cstheme="minorHAnsi" w:hAnsiTheme="minorHAnsi"/>
          <w:color w:val="000000" w:themeColor="text1"/>
          <w:sz w:val="24"/>
          <w:lang w:eastAsia="en-US"/>
        </w:rPr>
        <w:t>sendo encerrado no horário de finalização de lances também já previsto neste aviso.</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before="120" w:after="120"/>
        <w:jc w:val="both"/>
        <w:rPr>
          <w:rFonts w:ascii="Calibri" w:hAnsi="Calibri" w:cs="Calibri" w:asciiTheme="minorHAnsi" w:cstheme="minorHAnsi" w:hAnsiTheme="minorHAnsi"/>
          <w:sz w:val="24"/>
          <w:lang w:eastAsia="en-US"/>
        </w:rPr>
      </w:pPr>
      <w:r>
        <w:rPr>
          <w:rFonts w:cs="Calibri" w:ascii="Calibri" w:hAnsi="Calibri" w:asciiTheme="minorHAnsi" w:cstheme="minorHAnsi" w:hAnsiTheme="minorHAnsi"/>
          <w:iCs/>
          <w:sz w:val="24"/>
        </w:rPr>
        <w:t>O lance deverá ser ofertado pelo valor unitário do item</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sz w:val="24"/>
        </w:rPr>
        <w:t>O intervalo mínimo de diferença de valores ou percentuais entre os lances, que incidirá tanto em relação aos lances intermediários quanto em relação ao que cobrir a melhor oferta é de</w:t>
      </w:r>
      <w:r>
        <w:rPr>
          <w:rFonts w:cs="Calibri" w:ascii="Calibri" w:hAnsi="Calibri" w:asciiTheme="minorHAnsi" w:cstheme="minorHAnsi" w:hAnsiTheme="minorHAnsi"/>
          <w:i/>
          <w:iCs/>
          <w:color w:val="FF0000"/>
          <w:sz w:val="24"/>
        </w:rPr>
        <w:t>........ (....).</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Havendo lances iguais ao menor já ofertado, prevalecerá aquele que for recebido e registrado primeiro no sistema.</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Caso o fornecedor não apresente lances, concorrerá com o valor de sua proposta.</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Durante o procedimento, os fornecedores serão informados, em tempo real, do valor do menor lance registrado, vedada a identificação do fornecedor.</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JULGAMENTO DAS PROPOSTAS DE PREÇO</w:t>
      </w:r>
    </w:p>
    <w:p>
      <w:pPr>
        <w:pStyle w:val="ListParagraph"/>
        <w:numPr>
          <w:ilvl w:val="1"/>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No caso de o preço da proposta vencedora estar acima do estimado pela Administração, poderá haver a negociação de condições mais vantajosas.</w:t>
      </w:r>
    </w:p>
    <w:p>
      <w:pPr>
        <w:pStyle w:val="ListParagraph"/>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Em qualquer caso, concluída a negociação, o resultado será registrado na ata do procedimento da dispensa eletrônica.</w:t>
      </w:r>
    </w:p>
    <w:p>
      <w:pPr>
        <w:pStyle w:val="ListParagraph"/>
        <w:numPr>
          <w:ilvl w:val="1"/>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Estando o preço compatível, será solicitado o envio da proposta e, se necessário, de documentos complementares, adequada ao último lance.</w:t>
      </w:r>
    </w:p>
    <w:p>
      <w:pPr>
        <w:pStyle w:val="Normal"/>
        <w:numPr>
          <w:ilvl w:val="1"/>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 xml:space="preserve">O prazo de validade </w:t>
      </w:r>
      <w:r>
        <w:rPr>
          <w:rFonts w:cs="Calibri" w:ascii="Calibri" w:hAnsi="Calibri" w:asciiTheme="minorHAnsi" w:cstheme="minorHAnsi" w:hAnsiTheme="minorHAnsi"/>
          <w:sz w:val="24"/>
        </w:rPr>
        <w:t>da</w:t>
      </w:r>
      <w:r>
        <w:rPr>
          <w:rFonts w:cs="Calibri" w:ascii="Calibri" w:hAnsi="Calibri" w:asciiTheme="minorHAnsi" w:cstheme="minorHAnsi" w:hAnsiTheme="minorHAnsi"/>
          <w:color w:val="000000" w:themeColor="text1"/>
          <w:sz w:val="24"/>
        </w:rPr>
        <w:t xml:space="preserve"> proposta não será inferior a sessenta</w:t>
      </w:r>
      <w:r>
        <w:rPr>
          <w:rFonts w:cs="Calibri" w:ascii="Calibri" w:hAnsi="Calibri" w:asciiTheme="minorHAnsi" w:cstheme="minorHAnsi" w:hAnsiTheme="minorHAnsi"/>
          <w:color w:val="FF0000"/>
          <w:sz w:val="24"/>
        </w:rPr>
        <w:t xml:space="preserve"> (60)</w:t>
      </w:r>
      <w:r>
        <w:rPr>
          <w:rFonts w:cs="Calibri" w:ascii="Calibri" w:hAnsi="Calibri" w:asciiTheme="minorHAnsi" w:cstheme="minorHAnsi" w:hAnsiTheme="minorHAnsi"/>
          <w:color w:val="000000" w:themeColor="text1"/>
          <w:sz w:val="24"/>
        </w:rPr>
        <w:t xml:space="preserve"> dias</w:t>
      </w:r>
      <w:r>
        <w:rPr>
          <w:rFonts w:cs="Calibri" w:ascii="Calibri" w:hAnsi="Calibri" w:asciiTheme="minorHAnsi" w:cstheme="minorHAnsi" w:hAnsiTheme="minorHAnsi"/>
          <w:b/>
          <w:bCs/>
          <w:color w:val="000000" w:themeColor="text1"/>
          <w:sz w:val="24"/>
        </w:rPr>
        <w:t>,</w:t>
      </w:r>
      <w:r>
        <w:rPr>
          <w:rFonts w:cs="Calibri" w:ascii="Calibri" w:hAnsi="Calibri" w:asciiTheme="minorHAnsi" w:cstheme="minorHAnsi" w:hAnsiTheme="minorHAnsi"/>
          <w:color w:val="000000" w:themeColor="text1"/>
          <w:sz w:val="24"/>
        </w:rPr>
        <w:t xml:space="preserve"> a contar da data de sua apresentação.</w:t>
      </w:r>
    </w:p>
    <w:p>
      <w:pPr>
        <w:pStyle w:val="ListParagraph"/>
        <w:numPr>
          <w:ilvl w:val="1"/>
          <w:numId w:val="1"/>
        </w:numPr>
        <w:spacing w:before="120" w:after="120"/>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themeColor="text1"/>
          <w:sz w:val="24"/>
          <w:lang w:eastAsia="en-US"/>
        </w:rPr>
        <w:t xml:space="preserve">Será desclassificada a proposta vencedora que: </w:t>
      </w:r>
    </w:p>
    <w:p>
      <w:pPr>
        <w:pStyle w:val="ListParagraph"/>
        <w:numPr>
          <w:ilvl w:val="2"/>
          <w:numId w:val="1"/>
        </w:numPr>
        <w:spacing w:before="120" w:after="120"/>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contiver vícios insanáveis</w:t>
      </w:r>
      <w:r>
        <w:rPr>
          <w:rFonts w:cs="Calibri" w:ascii="Calibri" w:hAnsi="Calibri" w:asciiTheme="minorHAnsi" w:cstheme="minorHAnsi" w:hAnsiTheme="minorHAnsi"/>
          <w:iCs/>
          <w:color w:val="000000" w:themeColor="text1"/>
          <w:sz w:val="24"/>
        </w:rPr>
        <w:t>;</w:t>
      </w:r>
    </w:p>
    <w:p>
      <w:pPr>
        <w:pStyle w:val="ListParagraph"/>
        <w:numPr>
          <w:ilvl w:val="2"/>
          <w:numId w:val="1"/>
        </w:numPr>
        <w:spacing w:before="120" w:after="120"/>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não obedecer às especificações técnicas pormenorizadas neste aviso ou em seus anexos</w:t>
      </w:r>
      <w:r>
        <w:rPr>
          <w:rFonts w:cs="Calibri" w:ascii="Calibri" w:hAnsi="Calibri" w:asciiTheme="minorHAnsi" w:cstheme="minorHAnsi" w:hAnsiTheme="minorHAnsi"/>
          <w:iCs/>
          <w:color w:val="000000" w:themeColor="text1"/>
          <w:sz w:val="24"/>
        </w:rPr>
        <w:t>;</w:t>
      </w:r>
    </w:p>
    <w:p>
      <w:pPr>
        <w:pStyle w:val="ListParagraph"/>
        <w:numPr>
          <w:ilvl w:val="2"/>
          <w:numId w:val="1"/>
        </w:numPr>
        <w:spacing w:before="120" w:after="120"/>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apresentar preços inexequíveis ou permanecerem acima do preço máximo definido para a contratação;</w:t>
      </w:r>
    </w:p>
    <w:p>
      <w:pPr>
        <w:pStyle w:val="ListParagraph"/>
        <w:numPr>
          <w:ilvl w:val="2"/>
          <w:numId w:val="1"/>
        </w:numPr>
        <w:spacing w:before="120" w:after="120"/>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não tiverem sua exequibilidade demonstrada, quando exigido pela Administração</w:t>
      </w:r>
      <w:r>
        <w:rPr>
          <w:rFonts w:cs="Calibri" w:ascii="Calibri" w:hAnsi="Calibri" w:asciiTheme="minorHAnsi" w:cstheme="minorHAnsi" w:hAnsiTheme="minorHAnsi"/>
          <w:iCs/>
          <w:color w:val="000000" w:themeColor="text1"/>
          <w:sz w:val="24"/>
        </w:rPr>
        <w:t>;</w:t>
      </w:r>
    </w:p>
    <w:p>
      <w:pPr>
        <w:pStyle w:val="ListParagraph"/>
        <w:numPr>
          <w:ilvl w:val="2"/>
          <w:numId w:val="1"/>
        </w:numPr>
        <w:spacing w:before="120" w:after="120"/>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sz w:val="24"/>
        </w:rPr>
        <w:t>apresentar desconformidade com quaisquer outras exigências deste aviso ou seus anexos, desde que insanável.</w:t>
      </w:r>
    </w:p>
    <w:p>
      <w:pPr>
        <w:pStyle w:val="ListParagraph"/>
        <w:numPr>
          <w:ilvl w:val="1"/>
          <w:numId w:val="1"/>
        </w:numPr>
        <w:spacing w:before="120" w:after="120"/>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color w:val="000000" w:themeColor="text1"/>
          <w:sz w:val="24"/>
          <w:lang w:eastAsia="en-US"/>
        </w:rPr>
        <w:t>Quando</w:t>
      </w:r>
      <w:r>
        <w:rPr>
          <w:rFonts w:cs="Calibri" w:ascii="Calibri" w:hAnsi="Calibri" w:asciiTheme="minorHAnsi" w:cstheme="minorHAnsi" w:hAnsiTheme="minorHAnsi"/>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before="120" w:after="120"/>
        <w:jc w:val="both"/>
        <w:rPr>
          <w:rFonts w:ascii="Calibri" w:hAnsi="Calibri" w:cs="Calibri" w:asciiTheme="minorHAnsi" w:cstheme="minorHAnsi" w:hAnsiTheme="minorHAnsi"/>
          <w:i/>
          <w:i/>
          <w:color w:val="000000" w:themeColor="text1"/>
          <w:sz w:val="24"/>
        </w:rPr>
      </w:pPr>
      <w:r>
        <w:rPr>
          <w:rFonts w:cs="Calibri" w:ascii="Calibri" w:hAnsi="Calibri" w:asciiTheme="minorHAnsi" w:cstheme="minorHAnsi" w:hAnsiTheme="minorHAnsi"/>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before="120" w:after="120"/>
        <w:ind w:left="792" w:right="-15" w:hanging="432"/>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 xml:space="preserve">Se houver indícios de inexequibilidade da proposta de preço, ou em caso da necessidade de esclarecimentos </w:t>
      </w:r>
      <w:r>
        <w:rPr>
          <w:rFonts w:cs="Calibri" w:ascii="Calibri" w:hAnsi="Calibri" w:asciiTheme="minorHAnsi" w:cstheme="minorHAnsi" w:hAnsiTheme="minorHAnsi"/>
          <w:sz w:val="24"/>
        </w:rPr>
        <w:t>complementares</w:t>
      </w:r>
      <w:r>
        <w:rPr>
          <w:rFonts w:cs="Calibri" w:ascii="Calibri" w:hAnsi="Calibri" w:asciiTheme="minorHAnsi" w:cstheme="minorHAnsi" w:hAnsiTheme="minorHAnsi"/>
          <w:color w:val="000000" w:themeColor="text1"/>
          <w:sz w:val="24"/>
          <w:lang w:eastAsia="en-US"/>
        </w:rPr>
        <w:t xml:space="preserve">, poderão ser efetuadas diligências, para que a empresa comprove a exequibilidade da proposta.  </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 xml:space="preserve">Erros no preenchimento da planilha não constituem motivo para a desclassificação da proposta. A planilha </w:t>
      </w:r>
      <w:r>
        <w:rPr>
          <w:rFonts w:cs="Calibri" w:ascii="Calibri" w:hAnsi="Calibri" w:asciiTheme="minorHAnsi" w:cstheme="minorHAnsi" w:hAnsiTheme="minorHAnsi"/>
          <w:sz w:val="24"/>
        </w:rPr>
        <w:t>poderá</w:t>
      </w:r>
      <w:r>
        <w:rPr>
          <w:rFonts w:cs="Calibri" w:ascii="Calibri" w:hAnsi="Calibri" w:asciiTheme="minorHAnsi" w:cstheme="minorHAnsi" w:hAnsiTheme="minorHAnsi"/>
          <w:color w:val="000000" w:themeColor="text1"/>
          <w:sz w:val="24"/>
          <w:lang w:eastAsia="en-US"/>
        </w:rPr>
        <w:t xml:space="preserve"> ser ajustada pelo fornecedor, no prazo indicado pelo sistema, desde que não haja majoração do preço.</w:t>
      </w:r>
    </w:p>
    <w:p>
      <w:pPr>
        <w:pStyle w:val="ListParagraph"/>
        <w:numPr>
          <w:ilvl w:val="2"/>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O ajuste de que trata este dispositivo se limita a sanar erros ou falhas que não alterem a substância das propostas;</w:t>
      </w:r>
    </w:p>
    <w:p>
      <w:pPr>
        <w:pStyle w:val="ListParagraph"/>
        <w:numPr>
          <w:ilvl w:val="2"/>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Havendo necessidade, a sessão será suspensa, informando-se no “chat” a nova data e horário para a sua continuidade.</w:t>
      </w:r>
    </w:p>
    <w:p>
      <w:pPr>
        <w:pStyle w:val="ListParagraph"/>
        <w:numPr>
          <w:ilvl w:val="1"/>
          <w:numId w:val="1"/>
        </w:numPr>
        <w:spacing w:before="120" w:after="120"/>
        <w:jc w:val="both"/>
        <w:rPr>
          <w:rFonts w:ascii="Calibri" w:hAnsi="Calibri" w:cs="Calibri" w:asciiTheme="minorHAnsi" w:cstheme="minorHAnsi" w:hAnsiTheme="minorHAnsi"/>
          <w:color w:val="000000" w:themeColor="text1"/>
          <w:sz w:val="24"/>
          <w:lang w:eastAsia="en-US"/>
        </w:rPr>
      </w:pPr>
      <w:r>
        <w:rPr>
          <w:rFonts w:cs="Calibri" w:ascii="Calibri" w:hAnsi="Calibri" w:asciiTheme="minorHAnsi" w:cstheme="minorHAnsi" w:hAnsiTheme="minorHAnsi"/>
          <w:color w:val="000000" w:themeColor="text1"/>
          <w:sz w:val="24"/>
          <w:lang w:eastAsia="en-US"/>
        </w:rPr>
        <w:t>Encerrada a análise quanto à aceitação da proposta, se iniciará a fase de habilitação, observado o disposto neste Aviso de Contratação Direta. </w:t>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HABILITAÇÃO</w:t>
      </w:r>
    </w:p>
    <w:p>
      <w:pPr>
        <w:pStyle w:val="Normal"/>
        <w:numPr>
          <w:ilvl w:val="1"/>
          <w:numId w:val="1"/>
        </w:numPr>
        <w:spacing w:before="120" w:after="120"/>
        <w:ind w:left="792" w:hanging="574"/>
        <w:jc w:val="both"/>
        <w:rPr>
          <w:rFonts w:ascii="Calibri" w:hAnsi="Calibri" w:cs="Calibri" w:asciiTheme="minorHAnsi" w:cstheme="minorHAnsi" w:hAnsiTheme="minorHAnsi"/>
          <w:b/>
          <w:b/>
          <w:sz w:val="24"/>
          <w:lang w:eastAsia="ar-SA"/>
        </w:rPr>
      </w:pPr>
      <w:r>
        <w:rPr>
          <w:rFonts w:cs="Calibri" w:ascii="Calibri" w:hAnsi="Calibri" w:asciiTheme="minorHAnsi" w:cstheme="minorHAnsi" w:hAnsiTheme="minorHAnsi"/>
          <w:sz w:val="24"/>
          <w:lang w:eastAsia="ar-SA"/>
        </w:rPr>
        <w:t xml:space="preserve">Os </w:t>
      </w:r>
      <w:r>
        <w:rPr>
          <w:rFonts w:cs="Calibri" w:ascii="Calibri" w:hAnsi="Calibri" w:asciiTheme="minorHAnsi" w:cstheme="minorHAnsi" w:hAnsiTheme="minorHAnsi"/>
          <w:color w:val="000000"/>
          <w:sz w:val="24"/>
        </w:rPr>
        <w:t>documentos</w:t>
      </w:r>
      <w:r>
        <w:rPr>
          <w:rFonts w:cs="Calibri" w:ascii="Calibri" w:hAnsi="Calibri" w:asciiTheme="minorHAnsi" w:cstheme="minorHAnsi" w:hAnsiTheme="minorHAnsi"/>
          <w:sz w:val="24"/>
          <w:lang w:eastAsia="ar-SA"/>
        </w:rPr>
        <w:t xml:space="preserve"> a serem exigidos para fins de habilitação constam do </w:t>
      </w:r>
      <w:r>
        <w:rPr>
          <w:rFonts w:cs="Calibri" w:ascii="Calibri" w:hAnsi="Calibri" w:asciiTheme="minorHAnsi" w:cstheme="minorHAnsi" w:hAnsiTheme="minorHAnsi"/>
          <w:b/>
          <w:sz w:val="24"/>
          <w:lang w:eastAsia="ar-SA"/>
        </w:rPr>
        <w:t xml:space="preserve">ANEXO I – DOCUMENTAÇÃO EXIGIDA PARA HABILITAÇÃO e </w:t>
      </w:r>
      <w:r>
        <w:rPr>
          <w:rFonts w:cs="Calibri" w:ascii="Calibri" w:hAnsi="Calibri" w:asciiTheme="minorHAnsi" w:cstheme="minorHAnsi" w:hAnsiTheme="minorHAnsi"/>
          <w:b/>
          <w:color w:val="000000"/>
          <w:sz w:val="24"/>
        </w:rPr>
        <w:t>ANEXO II - TERMO DE REFERÊNCIA</w:t>
      </w:r>
      <w:r>
        <w:rPr>
          <w:rFonts w:cs="Calibri" w:ascii="Calibri" w:hAnsi="Calibri" w:asciiTheme="minorHAnsi" w:cstheme="minorHAnsi" w:hAnsiTheme="minorHAnsi"/>
          <w:color w:val="000000"/>
          <w:sz w:val="24"/>
        </w:rPr>
        <w:t xml:space="preserve">; </w:t>
      </w:r>
      <w:r>
        <w:rPr>
          <w:rFonts w:cs="Calibri" w:ascii="Calibri" w:hAnsi="Calibri" w:asciiTheme="minorHAnsi" w:cstheme="minorHAnsi" w:hAnsiTheme="minorHAnsi"/>
          <w:sz w:val="24"/>
          <w:lang w:eastAsia="ar-SA"/>
        </w:rPr>
        <w:t>deste aviso e serão solicitados do fornecedor mais bem classificado da fase de lances.</w:t>
      </w:r>
    </w:p>
    <w:p>
      <w:pPr>
        <w:pStyle w:val="ListParagraph"/>
        <w:numPr>
          <w:ilvl w:val="1"/>
          <w:numId w:val="1"/>
        </w:numPr>
        <w:spacing w:before="120" w:after="120"/>
        <w:ind w:left="792" w:hanging="574"/>
        <w:jc w:val="both"/>
        <w:rPr>
          <w:rFonts w:ascii="Calibri" w:hAnsi="Calibri" w:cs="Calibri" w:asciiTheme="minorHAnsi" w:cstheme="minorHAnsi" w:hAnsiTheme="minorHAnsi"/>
          <w:b/>
          <w:b/>
          <w:sz w:val="24"/>
          <w:lang w:eastAsia="ar-SA"/>
        </w:rPr>
      </w:pPr>
      <w:r>
        <w:rPr>
          <w:rFonts w:cs="Calibri" w:ascii="Calibri" w:hAnsi="Calibri" w:asciiTheme="minorHAnsi" w:cstheme="minorHAnsi" w:hAnsiTheme="minorHAnsi"/>
          <w:sz w:val="24"/>
          <w:lang w:eastAsia="ar-SA"/>
        </w:rPr>
        <w:t xml:space="preserve">Como </w:t>
      </w:r>
      <w:r>
        <w:rPr>
          <w:rFonts w:cs="Calibri" w:ascii="Calibri" w:hAnsi="Calibri" w:asciiTheme="minorHAnsi" w:cstheme="minorHAnsi" w:hAnsiTheme="minorHAnsi"/>
          <w:color w:val="000000"/>
          <w:sz w:val="24"/>
        </w:rPr>
        <w:t>condição</w:t>
      </w:r>
      <w:r>
        <w:rPr>
          <w:rFonts w:cs="Calibri" w:ascii="Calibri" w:hAnsi="Calibri" w:asciiTheme="minorHAnsi" w:cstheme="minorHAnsi" w:hAnsiTheme="minorHAnsi"/>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before="120" w:after="120"/>
        <w:ind w:left="1134" w:hanging="0"/>
        <w:jc w:val="both"/>
        <w:rPr>
          <w:rFonts w:ascii="Calibri" w:hAnsi="Calibri" w:cs="Calibri" w:asciiTheme="minorHAnsi" w:cstheme="minorHAnsi" w:hAnsiTheme="minorHAnsi"/>
          <w:sz w:val="24"/>
          <w:lang w:eastAsia="ar-SA"/>
        </w:rPr>
      </w:pPr>
      <w:r>
        <w:rPr>
          <w:rFonts w:cs="Calibri" w:ascii="Calibri" w:hAnsi="Calibri" w:asciiTheme="minorHAnsi" w:cstheme="minorHAnsi" w:hAnsiTheme="minorHAnsi"/>
          <w:sz w:val="24"/>
          <w:lang w:eastAsia="ar-SA"/>
        </w:rPr>
        <w:t xml:space="preserve">a) SICAF;  </w:t>
      </w:r>
    </w:p>
    <w:p>
      <w:pPr>
        <w:pStyle w:val="ListParagraph"/>
        <w:spacing w:before="120" w:after="120"/>
        <w:ind w:left="1134" w:hanging="0"/>
        <w:jc w:val="both"/>
        <w:rPr/>
      </w:pPr>
      <w:r>
        <w:rPr>
          <w:rFonts w:cs="Calibri" w:ascii="Calibri" w:hAnsi="Calibri" w:asciiTheme="minorHAnsi" w:cstheme="minorHAnsi" w:hAnsiTheme="minorHAnsi"/>
          <w:sz w:val="24"/>
          <w:lang w:eastAsia="ar-SA"/>
        </w:rPr>
        <w:t>b) Cadastro Nacional de Empresas Inidôneas e Suspensas - CEIS, mantido pela Controladoria-Geral da União (</w:t>
      </w:r>
      <w:hyperlink r:id="rId4">
        <w:r>
          <w:rPr>
            <w:rStyle w:val="LinkdaInternet"/>
            <w:rFonts w:eastAsia="Calibri" w:cs="Calibri" w:ascii="Calibri" w:hAnsi="Calibri" w:asciiTheme="minorHAnsi" w:cstheme="minorHAnsi" w:hAnsiTheme="minorHAnsi"/>
            <w:sz w:val="24"/>
            <w:lang w:eastAsia="ar-SA"/>
          </w:rPr>
          <w:t>www.portaldatransparencia.gov.br/ceis</w:t>
        </w:r>
      </w:hyperlink>
      <w:r>
        <w:rPr>
          <w:rFonts w:cs="Calibri" w:ascii="Calibri" w:hAnsi="Calibri" w:asciiTheme="minorHAnsi" w:cstheme="minorHAnsi" w:hAnsiTheme="minorHAnsi"/>
          <w:sz w:val="24"/>
          <w:lang w:eastAsia="ar-SA"/>
        </w:rPr>
        <w:t xml:space="preserve">);  </w:t>
      </w:r>
    </w:p>
    <w:p>
      <w:pPr>
        <w:pStyle w:val="ListParagraph"/>
        <w:spacing w:before="120" w:after="120"/>
        <w:ind w:left="1134" w:hanging="0"/>
        <w:jc w:val="both"/>
        <w:rPr/>
      </w:pPr>
      <w:r>
        <w:rPr>
          <w:rFonts w:cs="Calibri" w:ascii="Calibri" w:hAnsi="Calibri" w:asciiTheme="minorHAnsi" w:cstheme="minorHAnsi" w:hAnsiTheme="minorHAnsi"/>
          <w:sz w:val="24"/>
          <w:lang w:eastAsia="ar-SA"/>
        </w:rPr>
        <w:t>c) Cadastro Nacional de Condenações Cíveis por Atos de Improbidade Administrativa, mantido pelo Conselho Nacional de Justiça (</w:t>
      </w:r>
      <w:hyperlink r:id="rId5">
        <w:r>
          <w:rPr>
            <w:rStyle w:val="LinkdaInternet"/>
            <w:rFonts w:eastAsia="Calibri" w:cs="Calibri" w:ascii="Calibri" w:hAnsi="Calibri" w:asciiTheme="minorHAnsi" w:cstheme="minorHAnsi" w:hAnsiTheme="minorHAnsi"/>
            <w:sz w:val="24"/>
            <w:lang w:eastAsia="ar-SA"/>
          </w:rPr>
          <w:t>www.cnj.jus.br/improbidade_adm/consultar_requerido.php</w:t>
        </w:r>
      </w:hyperlink>
      <w:r>
        <w:rPr>
          <w:rFonts w:cs="Calibri" w:ascii="Calibri" w:hAnsi="Calibri" w:asciiTheme="minorHAnsi" w:cstheme="minorHAnsi" w:hAnsiTheme="minorHAnsi"/>
          <w:sz w:val="24"/>
          <w:lang w:eastAsia="ar-SA"/>
        </w:rPr>
        <w:t xml:space="preserve">).  </w:t>
      </w:r>
    </w:p>
    <w:p>
      <w:pPr>
        <w:pStyle w:val="ListParagraph"/>
        <w:spacing w:before="120" w:after="120"/>
        <w:ind w:left="1134" w:hanging="0"/>
        <w:jc w:val="both"/>
        <w:rPr>
          <w:rFonts w:ascii="Calibri" w:hAnsi="Calibri" w:cs="Calibri" w:asciiTheme="minorHAnsi" w:cstheme="minorHAnsi" w:hAnsiTheme="minorHAnsi"/>
          <w:sz w:val="24"/>
          <w:lang w:eastAsia="ar-SA"/>
        </w:rPr>
      </w:pPr>
      <w:r>
        <w:rPr>
          <w:rFonts w:cs="Calibri" w:ascii="Calibri" w:hAnsi="Calibri" w:asciiTheme="minorHAnsi" w:cstheme="minorHAnsi" w:hAnsiTheme="minorHAnsi"/>
          <w:sz w:val="24"/>
          <w:lang w:eastAsia="ar-SA"/>
        </w:rPr>
        <w:t xml:space="preserve">d) Lista de Inidôneos mantida pelo Tribunal de Contas da União - TCU; </w:t>
      </w:r>
    </w:p>
    <w:p>
      <w:pPr>
        <w:pStyle w:val="ListParagraph"/>
        <w:numPr>
          <w:ilvl w:val="2"/>
          <w:numId w:val="1"/>
        </w:numPr>
        <w:spacing w:before="120" w:after="120"/>
        <w:jc w:val="both"/>
        <w:rPr>
          <w:rFonts w:ascii="Calibri" w:hAnsi="Calibri" w:cs="Calibri" w:asciiTheme="minorHAnsi" w:cstheme="minorHAnsi" w:hAnsiTheme="minorHAnsi"/>
          <w:b/>
          <w:b/>
          <w:sz w:val="24"/>
        </w:rPr>
      </w:pPr>
      <w:r>
        <w:rPr>
          <w:rFonts w:cs="Calibri" w:ascii="Calibri" w:hAnsi="Calibri" w:asciiTheme="minorHAnsi" w:cstheme="minorHAnsi" w:hAnsiTheme="minorHAnsi"/>
          <w:sz w:val="24"/>
          <w:lang w:eastAsia="ar-SA"/>
        </w:rPr>
        <w:t xml:space="preserve">Para a consulta de </w:t>
      </w:r>
      <w:r>
        <w:rPr>
          <w:rFonts w:cs="Calibri" w:ascii="Calibri" w:hAnsi="Calibri" w:asciiTheme="minorHAnsi" w:cstheme="minorHAnsi" w:hAnsiTheme="minorHAnsi"/>
          <w:color w:val="000000" w:themeColor="text1"/>
          <w:sz w:val="24"/>
        </w:rPr>
        <w:t>fornecedores</w:t>
      </w:r>
      <w:r>
        <w:rPr>
          <w:rFonts w:cs="Calibri" w:ascii="Calibri" w:hAnsi="Calibri" w:asciiTheme="minorHAnsi" w:cstheme="minorHAnsi" w:hAnsiTheme="minorHAnsi"/>
          <w:sz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 xml:space="preserve">A consulta aos </w:t>
      </w:r>
      <w:r>
        <w:rPr>
          <w:rFonts w:cs="Calibri" w:ascii="Calibri" w:hAnsi="Calibri" w:asciiTheme="minorHAnsi" w:cstheme="minorHAnsi" w:hAnsiTheme="minorHAnsi"/>
          <w:sz w:val="24"/>
          <w:lang w:eastAsia="ar-SA"/>
        </w:rPr>
        <w:t>cadastros</w:t>
      </w:r>
      <w:r>
        <w:rPr>
          <w:rFonts w:cs="Calibri" w:ascii="Calibri" w:hAnsi="Calibri" w:asciiTheme="minorHAnsi" w:cstheme="minorHAnsi" w:hAnsiTheme="minorHAnsi"/>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A tentativa de burla será verificada por meio dos vínculos societários, linhas de fornecimento similares, dentre outros.</w:t>
      </w:r>
    </w:p>
    <w:p>
      <w:pPr>
        <w:pStyle w:val="ListParagraph"/>
        <w:numPr>
          <w:ilvl w:val="4"/>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O fornecedor será convocado para manifestação previamente à sua desclassificação</w:t>
      </w:r>
    </w:p>
    <w:p>
      <w:pPr>
        <w:pStyle w:val="ListParagraph"/>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Constatada a existência de sanção, o fornecedor será reputado inabilitado, por falta de condição de participação.</w:t>
      </w:r>
    </w:p>
    <w:p>
      <w:pPr>
        <w:pStyle w:val="ListParagraph"/>
        <w:numPr>
          <w:ilvl w:val="1"/>
          <w:numId w:val="1"/>
        </w:numPr>
        <w:spacing w:before="120" w:after="120"/>
        <w:ind w:left="792" w:hanging="574"/>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themeColor="text1"/>
          <w:sz w:val="24"/>
        </w:rPr>
        <w:t xml:space="preserve">Caso atendidas as condições de participação, </w:t>
      </w:r>
      <w:r>
        <w:rPr>
          <w:rFonts w:cs="Calibri" w:ascii="Calibri" w:hAnsi="Calibri" w:asciiTheme="minorHAnsi" w:cstheme="minorHAnsi" w:hAnsiTheme="minorHAnsi"/>
          <w:sz w:val="24"/>
        </w:rPr>
        <w:t>a habilitação dos fornecedores será verificada por meio do SICAF, nos documentos por ele abrangidos</w:t>
      </w:r>
      <w:r>
        <w:rPr>
          <w:rFonts w:cs="Calibri" w:ascii="Calibri" w:hAnsi="Calibri" w:asciiTheme="minorHAnsi" w:cstheme="minorHAnsi" w:hAnsiTheme="minorHAnsi"/>
          <w:color w:val="000000" w:themeColor="text1"/>
          <w:sz w:val="24"/>
        </w:rPr>
        <w:t>.</w:t>
      </w:r>
    </w:p>
    <w:p>
      <w:pPr>
        <w:pStyle w:val="ListParagraph"/>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before="120" w:after="12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before="120" w:after="120"/>
        <w:ind w:left="792" w:hanging="574"/>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before="120" w:after="120"/>
        <w:ind w:left="792" w:hanging="574"/>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before="120" w:after="120"/>
        <w:ind w:left="792" w:hanging="574"/>
        <w:jc w:val="both"/>
        <w:rPr>
          <w:rFonts w:ascii="Calibri" w:hAnsi="Calibri" w:cs="Calibri" w:asciiTheme="minorHAnsi" w:cstheme="minorHAnsi" w:hAnsiTheme="minorHAnsi"/>
          <w:b/>
          <w:b/>
          <w:bCs/>
          <w:sz w:val="24"/>
        </w:rPr>
      </w:pPr>
      <w:r>
        <w:rPr>
          <w:rFonts w:cs="Calibri" w:ascii="Calibri" w:hAnsi="Calibri" w:asciiTheme="minorHAnsi" w:cstheme="minorHAnsi" w:hAnsiTheme="minorHAnsi"/>
          <w:bCs/>
          <w:sz w:val="24"/>
        </w:rPr>
        <w:t>O fornecedor enquadrado como micro 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before="120" w:after="120"/>
        <w:ind w:left="792" w:hanging="574"/>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 xml:space="preserve">Havendo </w:t>
      </w:r>
      <w:r>
        <w:rPr>
          <w:rFonts w:cs="Calibri" w:ascii="Calibri" w:hAnsi="Calibri" w:asciiTheme="minorHAnsi" w:cstheme="minorHAnsi" w:hAnsiTheme="minorHAnsi"/>
          <w:iCs/>
          <w:sz w:val="24"/>
          <w:lang w:eastAsia="en-US"/>
        </w:rPr>
        <w:t>necessidade</w:t>
      </w:r>
      <w:r>
        <w:rPr>
          <w:rFonts w:cs="Calibri" w:ascii="Calibri" w:hAnsi="Calibri" w:asciiTheme="minorHAnsi" w:cstheme="minorHAnsi" w:hAnsiTheme="minorHAnsi"/>
          <w:bCs/>
          <w:sz w:val="24"/>
        </w:rPr>
        <w:t xml:space="preserve"> de analisar minuciosamente os documentos exigidos, a sessão será suspensa, sendo informada a nova data e horário para a sua continuidade.</w:t>
      </w:r>
    </w:p>
    <w:p>
      <w:pPr>
        <w:pStyle w:val="ListParagraph"/>
        <w:numPr>
          <w:ilvl w:val="1"/>
          <w:numId w:val="1"/>
        </w:numPr>
        <w:spacing w:before="120" w:after="120"/>
        <w:ind w:left="792" w:hanging="574"/>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 xml:space="preserve">Será inabilitado o fornecedor que não comprovar sua habilitação, seja por não apresentar </w:t>
      </w:r>
      <w:r>
        <w:rPr>
          <w:rFonts w:cs="Calibri" w:ascii="Calibri" w:hAnsi="Calibri" w:asciiTheme="minorHAnsi" w:cstheme="minorHAnsi" w:hAnsiTheme="minorHAnsi"/>
          <w:iCs/>
          <w:sz w:val="24"/>
          <w:lang w:eastAsia="en-US"/>
        </w:rPr>
        <w:t>quaisquer</w:t>
      </w:r>
      <w:r>
        <w:rPr>
          <w:rFonts w:cs="Calibri" w:ascii="Calibri" w:hAnsi="Calibri" w:asciiTheme="minorHAnsi" w:cstheme="minorHAnsi" w:hAnsiTheme="minorHAnsi"/>
          <w:color w:val="000000"/>
          <w:sz w:val="24"/>
        </w:rPr>
        <w:t xml:space="preserve"> dos </w:t>
      </w:r>
      <w:r>
        <w:rPr>
          <w:rFonts w:cs="Calibri" w:ascii="Calibri" w:hAnsi="Calibri" w:asciiTheme="minorHAnsi" w:cstheme="minorHAnsi" w:hAnsiTheme="minorHAnsi"/>
          <w:bCs/>
          <w:sz w:val="24"/>
        </w:rPr>
        <w:t>documentos</w:t>
      </w:r>
      <w:r>
        <w:rPr>
          <w:rFonts w:cs="Calibri" w:ascii="Calibri" w:hAnsi="Calibri" w:asciiTheme="minorHAnsi" w:cstheme="minorHAnsi" w:hAnsiTheme="minorHAnsi"/>
          <w:color w:val="000000"/>
          <w:sz w:val="24"/>
        </w:rPr>
        <w:t xml:space="preserve"> exigidos, ou apresentá-los em desacordo com o estabelecido neste Aviso de Contratação Direta.</w:t>
      </w:r>
    </w:p>
    <w:p>
      <w:pPr>
        <w:pStyle w:val="ListParagraph"/>
        <w:numPr>
          <w:ilvl w:val="2"/>
          <w:numId w:val="1"/>
        </w:numPr>
        <w:spacing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before="120" w:after="120"/>
        <w:ind w:left="792" w:hanging="574"/>
        <w:jc w:val="both"/>
        <w:rPr>
          <w:rFonts w:ascii="Calibri" w:hAnsi="Calibri" w:cs="Calibri" w:asciiTheme="minorHAnsi" w:cstheme="minorHAnsi" w:hAnsiTheme="minorHAnsi"/>
          <w:iCs/>
          <w:sz w:val="24"/>
          <w:lang w:eastAsia="en-US"/>
        </w:rPr>
      </w:pPr>
      <w:r>
        <w:rPr>
          <w:rFonts w:cs="Calibri" w:ascii="Calibri" w:hAnsi="Calibri" w:asciiTheme="minorHAnsi" w:cstheme="minorHAnsi" w:hAnsiTheme="minorHAnsi"/>
          <w:iCs/>
          <w:sz w:val="24"/>
          <w:lang w:eastAsia="en-US"/>
        </w:rPr>
        <w:t>Constatado o atendimento às exigências de habilitação, o fornecedor será habilitado</w:t>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CONTRATAÇÃO</w:t>
      </w:r>
    </w:p>
    <w:p>
      <w:pPr>
        <w:pStyle w:val="Normal"/>
        <w:numPr>
          <w:ilvl w:val="1"/>
          <w:numId w:val="1"/>
        </w:numPr>
        <w:spacing w:before="120" w:after="120"/>
        <w:ind w:left="425" w:hanging="0"/>
        <w:jc w:val="both"/>
        <w:rPr>
          <w:rFonts w:ascii="Calibri" w:hAnsi="Calibri" w:eastAsia="Arial" w:cs="Calibri" w:asciiTheme="minorHAnsi" w:cstheme="minorHAnsi" w:hAnsiTheme="minorHAnsi"/>
          <w:color w:val="000000"/>
          <w:sz w:val="24"/>
        </w:rPr>
      </w:pPr>
      <w:r>
        <w:rPr>
          <w:rFonts w:eastAsia="Arial" w:cs="Calibri" w:ascii="Calibri" w:hAnsi="Calibri" w:asciiTheme="minorHAnsi" w:cstheme="minorHAnsi" w:hAnsiTheme="minorHAnsi"/>
          <w:color w:val="000000"/>
          <w:sz w:val="24"/>
        </w:rPr>
        <w:t>Após a homologação e adjudicação, caso se conclua pela contratação, será firmado Termo de Contrato ou emitido instrumento equivalente.</w:t>
      </w:r>
    </w:p>
    <w:p>
      <w:pPr>
        <w:pStyle w:val="Normal"/>
        <w:numPr>
          <w:ilvl w:val="1"/>
          <w:numId w:val="1"/>
        </w:numPr>
        <w:spacing w:before="120" w:after="120"/>
        <w:ind w:left="425" w:hanging="0"/>
        <w:jc w:val="both"/>
        <w:rPr>
          <w:rFonts w:ascii="Calibri" w:hAnsi="Calibri" w:eastAsia="Arial" w:cs="Calibri" w:asciiTheme="minorHAnsi" w:cstheme="minorHAnsi" w:hAnsiTheme="minorHAnsi"/>
          <w:color w:val="000000"/>
          <w:sz w:val="24"/>
        </w:rPr>
      </w:pPr>
      <w:r>
        <w:rPr>
          <w:rFonts w:eastAsia="Arial" w:cs="Calibri" w:ascii="Calibri" w:hAnsi="Calibri" w:asciiTheme="minorHAnsi" w:cstheme="minorHAnsi" w:hAnsiTheme="minorHAnsi"/>
          <w:color w:val="000000"/>
          <w:sz w:val="24"/>
        </w:rPr>
        <w:t xml:space="preserve">O adjudicatário terá o prazo de </w:t>
      </w:r>
      <w:r>
        <w:rPr>
          <w:rFonts w:eastAsia="Arial" w:cs="Calibri" w:ascii="Calibri" w:hAnsi="Calibri" w:asciiTheme="minorHAnsi" w:cstheme="minorHAnsi" w:hAnsiTheme="minorHAnsi"/>
          <w:color w:val="FF0000"/>
          <w:sz w:val="24"/>
        </w:rPr>
        <w:t>.........(........) dias úteis</w:t>
      </w:r>
      <w:r>
        <w:rPr>
          <w:rFonts w:eastAsia="Arial" w:cs="Calibri" w:ascii="Calibri" w:hAnsi="Calibri" w:asciiTheme="minorHAnsi" w:cstheme="minorHAnsi" w:hAnsiTheme="minorHAnsi"/>
          <w:color w:val="000000"/>
          <w:sz w:val="24"/>
        </w:rPr>
        <w:t xml:space="preserve">, contados a partir da data de sua convocação, para </w:t>
      </w:r>
      <w:r>
        <w:rPr>
          <w:rFonts w:eastAsia="Arial" w:cs="Calibri" w:ascii="Calibri" w:hAnsi="Calibri" w:asciiTheme="minorHAnsi" w:cstheme="minorHAnsi" w:hAnsiTheme="minorHAnsi"/>
          <w:color w:val="FF0000"/>
          <w:sz w:val="24"/>
        </w:rPr>
        <w:t xml:space="preserve">assinar o Termo de Contrato ou aceitar instrumento equivalente, conforme o caso (Nota de Empenho/Carta Contrato/Autorização), </w:t>
      </w:r>
      <w:r>
        <w:rPr>
          <w:rFonts w:eastAsia="Arial" w:cs="Calibri" w:ascii="Calibri" w:hAnsi="Calibri" w:asciiTheme="minorHAnsi" w:cstheme="minorHAnsi" w:hAnsiTheme="minorHAnsi"/>
          <w:color w:val="000000"/>
          <w:sz w:val="24"/>
        </w:rPr>
        <w:t xml:space="preserve">sob pena de decair do direito à contratação, sem prejuízo das sanções previstas neste Aviso de Contratação Direta. </w:t>
      </w:r>
    </w:p>
    <w:p>
      <w:pPr>
        <w:pStyle w:val="Normal"/>
        <w:numPr>
          <w:ilvl w:val="2"/>
          <w:numId w:val="1"/>
        </w:numPr>
        <w:spacing w:before="120" w:after="120"/>
        <w:jc w:val="both"/>
        <w:rPr>
          <w:rFonts w:ascii="Calibri" w:hAnsi="Calibri" w:eastAsia="Arial" w:cs="Calibri" w:asciiTheme="minorHAnsi" w:cstheme="minorHAnsi" w:hAnsiTheme="minorHAnsi"/>
          <w:i/>
          <w:i/>
          <w:color w:val="FF0000"/>
          <w:sz w:val="24"/>
        </w:rPr>
      </w:pPr>
      <w:r>
        <w:rPr>
          <w:rFonts w:eastAsia="Arial" w:cs="Calibri" w:ascii="Calibri" w:hAnsi="Calibri" w:asciiTheme="minorHAnsi" w:cstheme="minorHAnsi" w:hAnsiTheme="minorHAnsi"/>
          <w:i/>
          <w:color w:val="FF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 (.....) dias, a contar da data de seu recebimento. </w:t>
      </w:r>
    </w:p>
    <w:p>
      <w:pPr>
        <w:pStyle w:val="Normal"/>
        <w:numPr>
          <w:ilvl w:val="2"/>
          <w:numId w:val="1"/>
        </w:numPr>
        <w:spacing w:before="120" w:after="120"/>
        <w:jc w:val="both"/>
        <w:rPr>
          <w:rFonts w:ascii="Calibri" w:hAnsi="Calibri" w:eastAsia="Arial" w:cs="Calibri" w:asciiTheme="minorHAnsi" w:cstheme="minorHAnsi" w:hAnsiTheme="minorHAnsi"/>
          <w:color w:val="000000"/>
          <w:sz w:val="24"/>
        </w:rPr>
      </w:pPr>
      <w:r>
        <w:rPr>
          <w:rFonts w:eastAsia="Arial" w:cs="Calibri" w:ascii="Calibri" w:hAnsi="Calibri" w:asciiTheme="minorHAnsi" w:cstheme="minorHAnsi" w:hAnsiTheme="minorHAnsi"/>
          <w:color w:val="000000"/>
          <w:sz w:val="24"/>
        </w:rPr>
        <w:t>O prazo previsto para assinatura do contrato ou aceitação da nota de empenho ou instrumento equivalente poderá ser prorrogado</w:t>
      </w:r>
      <w:r>
        <w:rPr>
          <w:rFonts w:cs="Calibri" w:ascii="Calibri" w:hAnsi="Calibri" w:asciiTheme="minorHAnsi" w:cstheme="minorHAnsi" w:hAnsiTheme="minorHAnsi"/>
          <w:bCs/>
          <w:sz w:val="24"/>
        </w:rPr>
        <w:t>1 (uma) vez</w:t>
      </w:r>
      <w:r>
        <w:rPr>
          <w:rFonts w:eastAsia="Arial" w:cs="Calibri" w:ascii="Calibri" w:hAnsi="Calibri" w:asciiTheme="minorHAnsi" w:cstheme="minorHAnsi" w:hAnsiTheme="minorHAnsi"/>
          <w:sz w:val="24"/>
        </w:rPr>
        <w:t xml:space="preserve">, </w:t>
      </w:r>
      <w:r>
        <w:rPr>
          <w:rFonts w:eastAsia="Arial" w:cs="Calibri" w:ascii="Calibri" w:hAnsi="Calibri" w:asciiTheme="minorHAnsi" w:cstheme="minorHAnsi" w:hAnsiTheme="minorHAnsi"/>
          <w:color w:val="000000"/>
          <w:sz w:val="24"/>
        </w:rPr>
        <w:t>por igual período, por solicitação justificada do adjudicatário e aceita pela Administração.</w:t>
      </w:r>
    </w:p>
    <w:p>
      <w:pPr>
        <w:pStyle w:val="Normal"/>
        <w:numPr>
          <w:ilvl w:val="1"/>
          <w:numId w:val="1"/>
        </w:numPr>
        <w:spacing w:before="120" w:after="120"/>
        <w:ind w:left="425" w:hanging="0"/>
        <w:jc w:val="both"/>
        <w:rPr>
          <w:rFonts w:ascii="Calibri" w:hAnsi="Calibri" w:eastAsia="Arial" w:cs="Calibri" w:asciiTheme="minorHAnsi" w:cstheme="minorHAnsi" w:hAnsiTheme="minorHAnsi"/>
          <w:i/>
          <w:i/>
          <w:color w:val="FF0000"/>
          <w:sz w:val="24"/>
        </w:rPr>
      </w:pPr>
      <w:r>
        <w:rPr>
          <w:rFonts w:eastAsia="Arial" w:cs="Calibri" w:ascii="Calibri" w:hAnsi="Calibri" w:asciiTheme="minorHAnsi" w:cstheme="minorHAnsi" w:hAnsiTheme="minorHAnsi"/>
          <w:i/>
          <w:color w:val="FF0000"/>
          <w:sz w:val="24"/>
        </w:rPr>
        <w:t>O Aceite da Nota de Empenho ou do instrumento equivalente, emitida à empresa adjudicada, implica no reconhecimento de que:</w:t>
      </w:r>
    </w:p>
    <w:p>
      <w:pPr>
        <w:pStyle w:val="Normal"/>
        <w:numPr>
          <w:ilvl w:val="2"/>
          <w:numId w:val="1"/>
        </w:numPr>
        <w:spacing w:before="120" w:after="120"/>
        <w:jc w:val="both"/>
        <w:rPr>
          <w:rFonts w:ascii="Calibri" w:hAnsi="Calibri" w:eastAsia="Arial" w:cs="Calibri" w:asciiTheme="minorHAnsi" w:cstheme="minorHAnsi" w:hAnsiTheme="minorHAnsi"/>
          <w:i/>
          <w:i/>
          <w:color w:val="FF0000"/>
          <w:sz w:val="24"/>
        </w:rPr>
      </w:pPr>
      <w:r>
        <w:rPr>
          <w:rFonts w:eastAsia="Arial" w:cs="Calibri" w:ascii="Calibri" w:hAnsi="Calibri" w:asciiTheme="minorHAnsi" w:cstheme="minorHAnsi" w:hAnsiTheme="minorHAnsi"/>
          <w:i/>
          <w:color w:val="FF0000"/>
          <w:sz w:val="24"/>
        </w:rPr>
        <w:t>referida Nota está substituindo o contrato, aplicando-se à relação de negócios ali estabelecida as disposições da Lei nº 14.133, de 2021;</w:t>
      </w:r>
    </w:p>
    <w:p>
      <w:pPr>
        <w:pStyle w:val="Normal"/>
        <w:numPr>
          <w:ilvl w:val="2"/>
          <w:numId w:val="1"/>
        </w:numPr>
        <w:spacing w:before="120" w:after="120"/>
        <w:jc w:val="both"/>
        <w:rPr>
          <w:rFonts w:ascii="Calibri" w:hAnsi="Calibri" w:eastAsia="Arial" w:cs="Calibri" w:asciiTheme="minorHAnsi" w:cstheme="minorHAnsi" w:hAnsiTheme="minorHAnsi"/>
          <w:i/>
          <w:i/>
          <w:color w:val="FF0000"/>
          <w:sz w:val="24"/>
        </w:rPr>
      </w:pPr>
      <w:r>
        <w:rPr>
          <w:rFonts w:eastAsia="Arial" w:cs="Calibri" w:ascii="Calibri" w:hAnsi="Calibri" w:asciiTheme="minorHAnsi" w:cstheme="minorHAnsi" w:hAnsiTheme="minorHAnsi"/>
          <w:i/>
          <w:color w:val="FF0000"/>
          <w:sz w:val="24"/>
        </w:rPr>
        <w:t>a contratada se vincula à sua proposta e às previsões contidas no Aviso de Contratação Direta e seus anexos;</w:t>
      </w:r>
    </w:p>
    <w:p>
      <w:pPr>
        <w:pStyle w:val="Normal"/>
        <w:numPr>
          <w:ilvl w:val="2"/>
          <w:numId w:val="1"/>
        </w:numPr>
        <w:spacing w:before="120" w:after="120"/>
        <w:jc w:val="both"/>
        <w:rPr>
          <w:rFonts w:ascii="Calibri" w:hAnsi="Calibri" w:eastAsia="Arial" w:cs="Calibri" w:asciiTheme="minorHAnsi" w:cstheme="minorHAnsi" w:hAnsiTheme="minorHAnsi"/>
          <w:i/>
          <w:i/>
          <w:color w:val="FF0000"/>
          <w:sz w:val="24"/>
        </w:rPr>
      </w:pPr>
      <w:r>
        <w:rPr>
          <w:rFonts w:eastAsia="Arial" w:cs="Calibri" w:ascii="Calibri" w:hAnsi="Calibri" w:asciiTheme="minorHAnsi" w:cstheme="minorHAnsi" w:hAnsiTheme="minorHAnsi"/>
          <w:i/>
          <w:color w:val="FF0000"/>
          <w:sz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before="120" w:after="120"/>
        <w:ind w:left="425" w:hanging="0"/>
        <w:jc w:val="both"/>
        <w:rPr>
          <w:rFonts w:ascii="Calibri" w:hAnsi="Calibri" w:eastAsia="Arial" w:cs="Calibri" w:asciiTheme="minorHAnsi" w:cstheme="minorHAnsi" w:hAnsiTheme="minorHAnsi"/>
          <w:color w:val="000000"/>
          <w:sz w:val="24"/>
        </w:rPr>
      </w:pPr>
      <w:r>
        <w:rPr>
          <w:rFonts w:eastAsia="Arial" w:cs="Calibri" w:ascii="Calibri" w:hAnsi="Calibri" w:asciiTheme="minorHAnsi" w:cstheme="minorHAnsi" w:hAnsiTheme="minorHAnsi"/>
          <w:color w:val="000000"/>
          <w:sz w:val="24"/>
        </w:rPr>
        <w:t xml:space="preserve">O prazo de vigência da contratação é de </w:t>
      </w:r>
      <w:r>
        <w:rPr>
          <w:rFonts w:eastAsia="Arial" w:cs="Calibri" w:ascii="Calibri" w:hAnsi="Calibri" w:asciiTheme="minorHAnsi" w:cstheme="minorHAnsi" w:hAnsiTheme="minorHAnsi"/>
          <w:color w:val="FF0000"/>
          <w:sz w:val="24"/>
        </w:rPr>
        <w:t xml:space="preserve">365 dias </w:t>
      </w:r>
      <w:r>
        <w:rPr>
          <w:rFonts w:eastAsia="Arial" w:cs="Calibri" w:ascii="Calibri" w:hAnsi="Calibri" w:asciiTheme="minorHAnsi" w:cstheme="minorHAnsi" w:hAnsiTheme="minorHAnsi"/>
          <w:color w:val="000000"/>
          <w:sz w:val="24"/>
        </w:rPr>
        <w:t>prorrogável conforme previsão nos anexos a este Aviso de Contratação Direta.</w:t>
      </w:r>
    </w:p>
    <w:p>
      <w:pPr>
        <w:pStyle w:val="Normal"/>
        <w:numPr>
          <w:ilvl w:val="1"/>
          <w:numId w:val="1"/>
        </w:numPr>
        <w:spacing w:before="120" w:after="120"/>
        <w:ind w:left="425" w:hanging="0"/>
        <w:jc w:val="both"/>
        <w:rPr>
          <w:rFonts w:ascii="Calibri" w:hAnsi="Calibri" w:eastAsia="Arial" w:cs="Calibri" w:asciiTheme="minorHAnsi" w:cstheme="minorHAnsi" w:hAnsiTheme="minorHAnsi"/>
          <w:color w:val="000000"/>
          <w:sz w:val="24"/>
        </w:rPr>
      </w:pPr>
      <w:r>
        <w:rPr>
          <w:rFonts w:cs="Calibri" w:ascii="Calibri" w:hAnsi="Calibri" w:asciiTheme="minorHAnsi" w:cstheme="minorHAnsi" w:hAnsiTheme="minorHAnsi"/>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SANÇÕES</w:t>
      </w:r>
    </w:p>
    <w:p>
      <w:pPr>
        <w:pStyle w:val="Normal"/>
        <w:numPr>
          <w:ilvl w:val="1"/>
          <w:numId w:val="1"/>
        </w:numPr>
        <w:spacing w:before="120" w:after="120"/>
        <w:ind w:left="425" w:hanging="0"/>
        <w:jc w:val="both"/>
        <w:rPr>
          <w:rFonts w:ascii="Calibri" w:hAnsi="Calibri" w:cs="Calibri" w:asciiTheme="minorHAnsi" w:cstheme="minorHAnsi" w:hAnsiTheme="minorHAnsi"/>
          <w:b/>
          <w:b/>
          <w:sz w:val="24"/>
        </w:rPr>
      </w:pPr>
      <w:r>
        <w:rPr>
          <w:rFonts w:cs="Calibri" w:ascii="Calibri" w:hAnsi="Calibri" w:asciiTheme="minorHAnsi" w:cstheme="minorHAnsi" w:hAnsiTheme="minorHAnsi"/>
          <w:sz w:val="24"/>
        </w:rPr>
        <w:t xml:space="preserve">Comete infração administrativa o fornecedor que cometer quaisquer das infrações previstas no art. 155 da Lei nº 14.133, de 2021, quais sejam: </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dar causa à inexecução parcial do contrato</w:t>
      </w:r>
      <w:r>
        <w:rPr>
          <w:rFonts w:cs="Calibri" w:ascii="Calibri" w:hAnsi="Calibri" w:asciiTheme="minorHAnsi" w:cstheme="minorHAnsi" w:hAnsiTheme="minorHAnsi"/>
          <w:sz w:val="24"/>
        </w:rPr>
        <w:t>;</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dar causa à inexecução parcial do contrato que cause grave dano à Administração, ao funcionamento dos serviços públicos ou ao interesse coletivo;</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dar causa à inexecução total do contrato;</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deixar de entregar a documentação exigida para o certame;</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não manter a proposta, salvo em decorrência de fato superveniente devidamente justificado;</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não celebrar o contrato ou não entregar a documentação exigida para a contratação, quando convocado dentro do prazo de validade de sua proposta;</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 </w:t>
      </w:r>
      <w:r>
        <w:rPr>
          <w:rFonts w:cs="Calibri" w:ascii="Calibri" w:hAnsi="Calibri" w:asciiTheme="minorHAnsi" w:cstheme="minorHAnsi" w:hAnsiTheme="minorHAnsi"/>
          <w:color w:val="000000"/>
          <w:sz w:val="24"/>
        </w:rPr>
        <w:t>ensejar o retardamento da execução ou da entrega do objeto da licitação sem motivo justificado;</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apresentar declaração ou documentação falsa exigida para o certame ou prestar declaração falsa durante a dispensa eletrônica ou a execução do contrato;</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fraudar a dispensa eletrônica ou praticar ato fraudulento na execução do contrato;</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 </w:t>
      </w:r>
      <w:r>
        <w:rPr>
          <w:rFonts w:cs="Calibri" w:ascii="Calibri" w:hAnsi="Calibri" w:asciiTheme="minorHAnsi" w:cstheme="minorHAnsi" w:hAnsiTheme="minorHAnsi"/>
          <w:color w:val="000000"/>
          <w:sz w:val="24"/>
        </w:rPr>
        <w:t>comportar-se de modo inidôneo ou cometer fraude de qualquer natureza;</w:t>
      </w:r>
    </w:p>
    <w:p>
      <w:pPr>
        <w:pStyle w:val="ListParagraph"/>
        <w:numPr>
          <w:ilvl w:val="3"/>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 </w:t>
      </w:r>
      <w:r>
        <w:rPr>
          <w:rFonts w:cs="Calibri" w:ascii="Calibri" w:hAnsi="Calibri" w:asciiTheme="minorHAnsi" w:cstheme="minorHAnsi" w:hAnsiTheme="minorHAnsi"/>
          <w:color w:val="000000"/>
          <w:sz w:val="24"/>
        </w:rPr>
        <w:t>praticar atos ilícitos com vistas a frustrar os objetivos deste certame.</w:t>
      </w:r>
    </w:p>
    <w:p>
      <w:pPr>
        <w:pStyle w:val="Normal"/>
        <w:numPr>
          <w:ilvl w:val="2"/>
          <w:numId w:val="1"/>
        </w:numPr>
        <w:spacing w:before="120" w:after="120"/>
        <w:jc w:val="both"/>
        <w:rPr/>
      </w:pPr>
      <w:r>
        <w:rPr>
          <w:rFonts w:cs="Calibri" w:ascii="Calibri" w:hAnsi="Calibri" w:asciiTheme="minorHAnsi" w:cstheme="minorHAnsi" w:hAnsiTheme="minorHAnsi"/>
          <w:color w:val="000000"/>
          <w:sz w:val="24"/>
        </w:rPr>
        <w:t>praticar ato lesivo previsto no </w:t>
      </w:r>
      <w:r>
        <w:fldChar w:fldCharType="begin"/>
      </w:r>
      <w:r>
        <w:instrText> HYPERLINK "http://www.planalto.gov.br/ccivil_03/_Ato2011-2014/2013/Lei/L12846.htm" \l "art5"</w:instrText>
      </w:r>
      <w:r>
        <w:fldChar w:fldCharType="separate"/>
      </w:r>
      <w:r>
        <w:rPr>
          <w:rStyle w:val="LinkdaInternet"/>
          <w:rFonts w:cs="Calibri" w:ascii="Calibri" w:hAnsi="Calibri" w:asciiTheme="minorHAnsi" w:cstheme="minorHAnsi" w:hAnsiTheme="minorHAnsi"/>
          <w:color w:val="000000"/>
          <w:sz w:val="24"/>
        </w:rPr>
        <w:t>art. 5º da Lei nº 12.846, de 1º de agosto de 2013.</w:t>
      </w:r>
      <w:r>
        <w:fldChar w:fldCharType="end"/>
      </w:r>
    </w:p>
    <w:p>
      <w:pPr>
        <w:pStyle w:val="Normal"/>
        <w:numPr>
          <w:ilvl w:val="1"/>
          <w:numId w:val="1"/>
        </w:numPr>
        <w:spacing w:before="120" w:after="120"/>
        <w:ind w:left="425" w:hanging="0"/>
        <w:jc w:val="both"/>
        <w:rPr>
          <w:rFonts w:ascii="Calibri" w:hAnsi="Calibri" w:cs="Calibri" w:asciiTheme="minorHAnsi" w:cstheme="minorHAnsi" w:hAnsiTheme="minorHAnsi"/>
          <w:b/>
          <w:b/>
          <w:sz w:val="24"/>
        </w:rPr>
      </w:pPr>
      <w:r>
        <w:rPr>
          <w:rFonts w:cs="Calibri" w:ascii="Calibri" w:hAnsi="Calibri" w:asciiTheme="minorHAnsi" w:cstheme="minorHAnsi" w:hAnsiTheme="minorHAnsi"/>
          <w:sz w:val="24"/>
        </w:rPr>
        <w:t>O fornecedor que cometer qualquer das infrações discriminadas nos subitens anteriores ficará sujeito, sem prejuízo da responsabilidade civil e criminal, às seguintes sanções:</w:t>
      </w:r>
    </w:p>
    <w:p>
      <w:pPr>
        <w:pStyle w:val="Normal"/>
        <w:numPr>
          <w:ilvl w:val="2"/>
          <w:numId w:val="4"/>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Advertência pela falta do subitem 8.1.1 deste Aviso de Contratação Direta,quando não se justificar a imposição de penalidade mais grave;</w:t>
      </w:r>
    </w:p>
    <w:p>
      <w:pPr>
        <w:pStyle w:val="Normal"/>
        <w:numPr>
          <w:ilvl w:val="2"/>
          <w:numId w:val="4"/>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Multa de </w:t>
      </w:r>
      <w:r>
        <w:rPr>
          <w:rFonts w:cs="Calibri" w:ascii="Calibri" w:hAnsi="Calibri" w:asciiTheme="minorHAnsi" w:cstheme="minorHAnsi" w:hAnsiTheme="minorHAnsi"/>
          <w:color w:val="FF0000"/>
          <w:sz w:val="24"/>
        </w:rPr>
        <w:t xml:space="preserve">0,5% (50 décimos por cento) </w:t>
      </w:r>
      <w:r>
        <w:rPr>
          <w:rFonts w:cs="Calibri" w:ascii="Calibri" w:hAnsi="Calibri" w:asciiTheme="minorHAnsi" w:cstheme="minorHAnsi" w:hAnsiTheme="minorHAnsi"/>
          <w:sz w:val="24"/>
        </w:rPr>
        <w:t>sobre o valor estimado do(s) item(s) prejudicado(s) pela conduta do fornecedor, por qualquer das infrações dos subitens 8.1.1 a 8.1.12;</w:t>
      </w:r>
    </w:p>
    <w:p>
      <w:pPr>
        <w:pStyle w:val="Normal"/>
        <w:numPr>
          <w:ilvl w:val="2"/>
          <w:numId w:val="4"/>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Calibri" w:ascii="Calibri" w:hAnsi="Calibri" w:asciiTheme="minorHAnsi" w:cstheme="minorHAnsi" w:hAnsiTheme="minorHAnsi"/>
          <w:sz w:val="24"/>
        </w:rPr>
        <w:t>;</w:t>
      </w:r>
    </w:p>
    <w:p>
      <w:pPr>
        <w:pStyle w:val="Normal"/>
        <w:numPr>
          <w:ilvl w:val="2"/>
          <w:numId w:val="4"/>
        </w:numPr>
        <w:spacing w:before="120" w:after="120"/>
        <w:jc w:val="both"/>
        <w:rPr>
          <w:rFonts w:ascii="Calibri" w:hAnsi="Calibri" w:cs="Calibri" w:asciiTheme="minorHAnsi" w:cstheme="minorHAnsi" w:hAnsiTheme="minorHAnsi"/>
          <w:sz w:val="24"/>
        </w:rPr>
      </w:pPr>
      <w:r>
        <w:rPr>
          <w:rFonts w:cs="Calibri" w:ascii="Calibri" w:hAnsi="Calibri" w:asciiTheme="minorHAnsi" w:cstheme="minorHAnsi" w:hAnsiTheme="minorHAnsi"/>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Calibri" w:ascii="Calibri" w:hAnsi="Calibri" w:asciiTheme="minorHAnsi" w:cstheme="minorHAnsi" w:hAnsiTheme="minorHAnsi"/>
          <w:sz w:val="24"/>
        </w:rPr>
        <w:t>;</w:t>
      </w:r>
    </w:p>
    <w:p>
      <w:pPr>
        <w:pStyle w:val="Normal"/>
        <w:numPr>
          <w:ilvl w:val="1"/>
          <w:numId w:val="1"/>
        </w:numPr>
        <w:spacing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Na aplicação das sanções serão considerados:</w:t>
      </w:r>
    </w:p>
    <w:p>
      <w:pPr>
        <w:pStyle w:val="Normal"/>
        <w:numPr>
          <w:ilvl w:val="2"/>
          <w:numId w:val="1"/>
        </w:numPr>
        <w:spacing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a natureza e a gravidade da infração cometida;</w:t>
      </w:r>
    </w:p>
    <w:p>
      <w:pPr>
        <w:pStyle w:val="Normal"/>
        <w:numPr>
          <w:ilvl w:val="2"/>
          <w:numId w:val="1"/>
        </w:numPr>
        <w:spacing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as peculiaridades do caso concreto;</w:t>
      </w:r>
    </w:p>
    <w:p>
      <w:pPr>
        <w:pStyle w:val="Normal"/>
        <w:numPr>
          <w:ilvl w:val="2"/>
          <w:numId w:val="1"/>
        </w:numPr>
        <w:spacing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as circunstâncias agravantes ou atenuantes;</w:t>
      </w:r>
    </w:p>
    <w:p>
      <w:pPr>
        <w:pStyle w:val="Normal"/>
        <w:numPr>
          <w:ilvl w:val="2"/>
          <w:numId w:val="1"/>
        </w:numPr>
        <w:spacing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os danos que dela provierem para a Administração Pública;</w:t>
      </w:r>
    </w:p>
    <w:p>
      <w:pPr>
        <w:pStyle w:val="Normal"/>
        <w:numPr>
          <w:ilvl w:val="2"/>
          <w:numId w:val="1"/>
        </w:numPr>
        <w:spacing w:before="120" w:after="120"/>
        <w:jc w:val="both"/>
        <w:rPr>
          <w:rFonts w:ascii="Calibri" w:hAnsi="Calibri" w:cs="Calibri" w:asciiTheme="minorHAnsi" w:cstheme="minorHAnsi" w:hAnsiTheme="minorHAnsi"/>
          <w:bCs/>
          <w:sz w:val="24"/>
        </w:rPr>
      </w:pPr>
      <w:r>
        <w:rPr>
          <w:rFonts w:cs="Calibri" w:ascii="Calibri" w:hAnsi="Calibri" w:asciiTheme="minorHAnsi" w:cstheme="minorHAnsi" w:hAnsiTheme="minorHAnsi"/>
          <w:bCs/>
          <w:sz w:val="24"/>
        </w:rPr>
        <w:t>a implantação ou o aperfeiçoamento de programa de integridade, conforme normas e orientações dos órgãos de controle.</w:t>
      </w:r>
    </w:p>
    <w:p>
      <w:pPr>
        <w:pStyle w:val="Normal"/>
        <w:numPr>
          <w:ilvl w:val="1"/>
          <w:numId w:val="1"/>
        </w:numPr>
        <w:spacing w:before="120" w:after="120"/>
        <w:ind w:left="425" w:hanging="0"/>
        <w:jc w:val="both"/>
        <w:rPr>
          <w:rFonts w:ascii="Calibri" w:hAnsi="Calibri" w:cs="Calibri" w:asciiTheme="minorHAnsi" w:cstheme="minorHAnsi" w:hAnsiTheme="minorHAnsi"/>
          <w:sz w:val="24"/>
        </w:rPr>
      </w:pPr>
      <w:bookmarkStart w:id="3" w:name="art156§8"/>
      <w:bookmarkStart w:id="4" w:name="art156§7"/>
      <w:bookmarkStart w:id="5" w:name="art156§6"/>
      <w:bookmarkEnd w:id="3"/>
      <w:bookmarkEnd w:id="4"/>
      <w:bookmarkEnd w:id="5"/>
      <w:r>
        <w:rPr>
          <w:rFonts w:cs="Calibri" w:ascii="Calibri" w:hAnsi="Calibri" w:asciiTheme="minorHAnsi" w:cstheme="minorHAnsi" w:hAnsi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before="120" w:after="120"/>
        <w:ind w:left="425" w:hanging="0"/>
        <w:jc w:val="both"/>
        <w:rPr>
          <w:rFonts w:ascii="Calibri" w:hAnsi="Calibri" w:cs="Calibri" w:asciiTheme="minorHAnsi" w:cstheme="minorHAnsi" w:hAnsiTheme="minorHAnsi"/>
          <w:sz w:val="24"/>
        </w:rPr>
      </w:pPr>
      <w:bookmarkStart w:id="6" w:name="art156§9"/>
      <w:bookmarkEnd w:id="6"/>
      <w:r>
        <w:rPr>
          <w:rFonts w:cs="Calibri" w:ascii="Calibri" w:hAnsi="Calibri" w:asciiTheme="minorHAnsi" w:cstheme="minorHAnsi" w:hAnsiTheme="minorHAnsi"/>
          <w:sz w:val="24"/>
        </w:rPr>
        <w:t>A aplicação das sanções previstas neste Aviso de Contratação Direta, em hipótese alguma, a obrigação de reparação integral do dano causado à Administração Pública.</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penalidade de multa pode ser aplicada cumulativamente com as demais sanções.</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As sanções por atos praticados no decorrer da contratação estão previstas nos anexos a este Aviso.</w:t>
      </w:r>
    </w:p>
    <w:p>
      <w:pPr>
        <w:pStyle w:val="Normal"/>
        <w:spacing w:before="120" w:after="120"/>
        <w:ind w:left="425" w:hanging="0"/>
        <w:jc w:val="both"/>
        <w:rPr>
          <w:rFonts w:ascii="Calibri" w:hAnsi="Calibri" w:cs="Calibri" w:asciiTheme="minorHAnsi" w:cstheme="minorHAnsi" w:hAnsiTheme="minorHAnsi"/>
          <w:sz w:val="24"/>
        </w:rPr>
      </w:pPr>
      <w:r>
        <w:rPr>
          <w:rFonts w:cs="Calibri" w:cstheme="minorHAnsi" w:ascii="Calibri" w:hAnsi="Calibri"/>
          <w:sz w:val="24"/>
        </w:rPr>
      </w:r>
    </w:p>
    <w:p>
      <w:pPr>
        <w:pStyle w:val="PADRO"/>
        <w:keepNext/>
        <w:widowControl/>
        <w:numPr>
          <w:ilvl w:val="0"/>
          <w:numId w:val="1"/>
        </w:numPr>
        <w:shd w:val="clear" w:color="auto" w:fill="auto"/>
        <w:spacing w:lineRule="auto" w:line="240" w:before="120" w:after="120"/>
        <w:rPr>
          <w:rFonts w:ascii="Calibri" w:hAnsi="Calibri" w:cs="Calibri" w:asciiTheme="minorHAnsi" w:cstheme="minorHAnsi" w:hAnsiTheme="minorHAnsi"/>
          <w:b/>
          <w:b/>
          <w:sz w:val="24"/>
        </w:rPr>
      </w:pPr>
      <w:r>
        <w:rPr>
          <w:rFonts w:cs="Calibri" w:ascii="Calibri" w:hAnsi="Calibri" w:asciiTheme="minorHAnsi" w:cstheme="minorHAnsi" w:hAnsiTheme="minorHAnsi"/>
          <w:b/>
          <w:sz w:val="24"/>
        </w:rPr>
        <w:t>DAS DISPOSIÇÕES GERAIS</w:t>
      </w:r>
    </w:p>
    <w:p>
      <w:pPr>
        <w:pStyle w:val="Normal"/>
        <w:numPr>
          <w:ilvl w:val="1"/>
          <w:numId w:val="1"/>
        </w:numPr>
        <w:snapToGrid w:val="false"/>
        <w:spacing w:before="120" w:after="120"/>
        <w:ind w:left="425" w:hanging="0"/>
        <w:jc w:val="both"/>
        <w:rPr>
          <w:rFonts w:ascii="Calibri" w:hAnsi="Calibri" w:cs="Calibri" w:asciiTheme="minorHAnsi" w:cstheme="minorHAnsi" w:hAnsiTheme="minorHAnsi"/>
          <w:sz w:val="24"/>
        </w:rPr>
      </w:pPr>
      <w:r>
        <w:rPr>
          <w:rFonts w:cs="Calibri" w:ascii="Calibri" w:hAnsi="Calibri" w:asciiTheme="minorHAnsi" w:cstheme="minorHAnsi" w:hAnsiTheme="minorHAnsi"/>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No caso de todos os fornecedores restarem desclassificados ou inabilitados (procedimento fracassado), a Administração poderá:</w:t>
      </w:r>
    </w:p>
    <w:p>
      <w:pPr>
        <w:pStyle w:val="Normal"/>
        <w:numPr>
          <w:ilvl w:val="2"/>
          <w:numId w:val="1"/>
        </w:numPr>
        <w:spacing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Republicar o presente aviso com uma nova data;</w:t>
      </w:r>
    </w:p>
    <w:p>
      <w:pPr>
        <w:pStyle w:val="Normal"/>
        <w:numPr>
          <w:ilvl w:val="2"/>
          <w:numId w:val="1"/>
        </w:numPr>
        <w:spacing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No caso do subitem anterior, a contratação será operacionalizada fora deste procedimento.</w:t>
      </w:r>
    </w:p>
    <w:p>
      <w:pPr>
        <w:pStyle w:val="Normal"/>
        <w:numPr>
          <w:ilvl w:val="2"/>
          <w:numId w:val="1"/>
        </w:numPr>
        <w:spacing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Fixar prazo para que possa haver adequação das propostas ou da documentação de habilitação, conforme o caso.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As providências dos subitens 9.2.1 e 9.2.2 acima poderão ser utilizadas se não houver o comparecimento de quaisquer fornecedores interessados (procedimento deserto)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before="120" w:after="120"/>
        <w:ind w:left="425" w:hanging="0"/>
        <w:jc w:val="both"/>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Da sessão pública será divulgada Ata no sistema eletrônico.</w:t>
      </w:r>
    </w:p>
    <w:p>
      <w:pPr>
        <w:pStyle w:val="Normal"/>
        <w:numPr>
          <w:ilvl w:val="1"/>
          <w:numId w:val="1"/>
        </w:numPr>
        <w:spacing w:before="120" w:after="120"/>
        <w:ind w:left="425" w:hanging="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Integram este Aviso de Contratação Direta, para todos os fins e efeitos, os seguintes anexos:</w:t>
      </w:r>
    </w:p>
    <w:p>
      <w:pPr>
        <w:pStyle w:val="Normal"/>
        <w:numPr>
          <w:ilvl w:val="2"/>
          <w:numId w:val="1"/>
        </w:numPr>
        <w:spacing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ANEXO I – Documentação exigida para Habilitação</w:t>
      </w:r>
    </w:p>
    <w:p>
      <w:pPr>
        <w:pStyle w:val="Normal"/>
        <w:numPr>
          <w:ilvl w:val="2"/>
          <w:numId w:val="1"/>
        </w:numPr>
        <w:spacing w:before="120" w:after="120"/>
        <w:jc w:val="both"/>
        <w:rPr>
          <w:rFonts w:ascii="Calibri" w:hAnsi="Calibri" w:cs="Calibri" w:asciiTheme="minorHAnsi" w:cstheme="minorHAnsi" w:hAnsiTheme="minorHAnsi"/>
          <w:color w:val="000000"/>
          <w:sz w:val="24"/>
        </w:rPr>
      </w:pPr>
      <w:r>
        <w:rPr>
          <w:rFonts w:cs="Calibri" w:ascii="Calibri" w:hAnsi="Calibri" w:asciiTheme="minorHAnsi" w:cstheme="minorHAnsi" w:hAnsiTheme="minorHAnsi"/>
          <w:color w:val="000000"/>
          <w:sz w:val="24"/>
        </w:rPr>
        <w:t>ANEXO II - Termo de Referência;</w:t>
      </w:r>
    </w:p>
    <w:p>
      <w:pPr>
        <w:pStyle w:val="Normal"/>
        <w:numPr>
          <w:ilvl w:val="3"/>
          <w:numId w:val="1"/>
        </w:numPr>
        <w:spacing w:before="120" w:after="120"/>
        <w:jc w:val="both"/>
        <w:rPr>
          <w:rFonts w:ascii="Calibri" w:hAnsi="Calibri" w:cs="Calibri" w:asciiTheme="minorHAnsi" w:cstheme="minorHAnsi" w:hAnsiTheme="minorHAnsi"/>
          <w:i/>
          <w:i/>
          <w:iCs/>
          <w:color w:val="FF0000"/>
          <w:sz w:val="24"/>
        </w:rPr>
      </w:pPr>
      <w:r>
        <w:rPr>
          <w:rFonts w:cs="Calibri" w:ascii="Calibri" w:hAnsi="Calibri" w:asciiTheme="minorHAnsi" w:cstheme="minorHAnsi" w:hAnsiTheme="minorHAnsi"/>
          <w:i/>
          <w:iCs/>
          <w:color w:val="FF0000"/>
          <w:sz w:val="24"/>
        </w:rPr>
        <w:t>ANEXO II.1 – Estudo Técnico Preliminar</w:t>
      </w:r>
    </w:p>
    <w:p>
      <w:pPr>
        <w:pStyle w:val="Normal"/>
        <w:numPr>
          <w:ilvl w:val="2"/>
          <w:numId w:val="1"/>
        </w:numPr>
        <w:spacing w:before="120" w:after="120"/>
        <w:jc w:val="both"/>
        <w:rPr>
          <w:rFonts w:ascii="Calibri" w:hAnsi="Calibri" w:cs="Calibri" w:asciiTheme="minorHAnsi" w:cstheme="minorHAnsi" w:hAnsiTheme="minorHAnsi"/>
          <w:i/>
          <w:i/>
          <w:iCs/>
          <w:color w:val="FF0000"/>
          <w:sz w:val="24"/>
        </w:rPr>
      </w:pPr>
      <w:r>
        <w:rPr>
          <w:rFonts w:cs="Calibri" w:ascii="Calibri" w:hAnsi="Calibri" w:asciiTheme="minorHAnsi" w:cstheme="minorHAnsi" w:hAnsiTheme="minorHAnsi"/>
          <w:i/>
          <w:iCs/>
          <w:color w:val="FF0000"/>
          <w:sz w:val="24"/>
          <w:szCs w:val="24"/>
        </w:rPr>
        <w:t>ANEXO III – Minuta de Termo de Contrato;</w:t>
      </w:r>
    </w:p>
    <w:p>
      <w:pPr>
        <w:pStyle w:val="Normal"/>
        <w:numPr>
          <w:ilvl w:val="2"/>
          <w:numId w:val="1"/>
        </w:numPr>
        <w:spacing w:before="120" w:after="120"/>
        <w:jc w:val="both"/>
        <w:rPr>
          <w:rFonts w:ascii="Calibri" w:hAnsi="Calibri" w:cs="Calibri" w:asciiTheme="minorHAnsi" w:cstheme="minorHAnsi" w:hAnsiTheme="minorHAnsi"/>
          <w:i/>
          <w:i/>
          <w:iCs/>
          <w:color w:val="FF0000"/>
          <w:sz w:val="24"/>
        </w:rPr>
      </w:pPr>
      <w:r>
        <w:rPr>
          <w:rFonts w:cs="Calibri" w:ascii="Calibri" w:hAnsi="Calibri" w:asciiTheme="minorHAnsi" w:cstheme="minorHAnsi" w:hAnsiTheme="minorHAnsi"/>
          <w:i/>
          <w:iCs/>
          <w:color w:val="FF0000"/>
          <w:sz w:val="24"/>
          <w:szCs w:val="24"/>
        </w:rPr>
        <w:t>ANEXO IV – Mapa Comparativo de Preços;</w:t>
      </w:r>
    </w:p>
    <w:p>
      <w:pPr>
        <w:pStyle w:val="Normal"/>
        <w:numPr>
          <w:ilvl w:val="2"/>
          <w:numId w:val="1"/>
        </w:numPr>
        <w:spacing w:before="120" w:after="120"/>
        <w:jc w:val="both"/>
        <w:rPr>
          <w:rFonts w:ascii="Calibri" w:hAnsi="Calibri" w:cs="Calibri" w:asciiTheme="minorHAnsi" w:cstheme="minorHAnsi" w:hAnsiTheme="minorHAnsi"/>
          <w:i/>
          <w:i/>
          <w:iCs/>
          <w:color w:val="FF0000"/>
          <w:sz w:val="24"/>
        </w:rPr>
      </w:pPr>
      <w:r>
        <w:rPr>
          <w:rFonts w:cs="Calibri" w:ascii="Calibri" w:hAnsi="Calibri" w:asciiTheme="minorHAnsi" w:cstheme="minorHAnsi" w:hAnsiTheme="minorHAnsi"/>
          <w:i/>
          <w:iCs/>
          <w:color w:val="FF0000"/>
          <w:sz w:val="24"/>
          <w:szCs w:val="24"/>
        </w:rPr>
        <w:t>ANEXO V – Mapa de Risco</w:t>
      </w:r>
    </w:p>
    <w:p>
      <w:pPr>
        <w:pStyle w:val="Normal"/>
        <w:jc w:val="right"/>
        <w:rPr>
          <w:rFonts w:ascii="Calibri" w:hAnsi="Calibri"/>
          <w:sz w:val="24"/>
          <w:szCs w:val="24"/>
        </w:rPr>
      </w:pPr>
      <w:r>
        <w:rPr>
          <w:rFonts w:cs="Calibri" w:ascii="Calibri" w:hAnsi="Calibri" w:asciiTheme="minorHAnsi" w:cstheme="minorHAnsi" w:hAnsiTheme="minorHAnsi"/>
          <w:color w:val="000000"/>
          <w:sz w:val="24"/>
          <w:szCs w:val="24"/>
        </w:rPr>
        <w:t>Rio de Janeiro, RJ, 11 de setembro de 2023.</w:t>
      </w:r>
    </w:p>
    <w:p>
      <w:pPr>
        <w:pStyle w:val="Normal"/>
        <w:spacing w:beforeAutospacing="1" w:after="0"/>
        <w:rPr>
          <w:rFonts w:ascii="Calibri" w:hAnsi="Calibri" w:cs="Calibri" w:asciiTheme="minorHAnsi" w:cstheme="minorHAnsi" w:hAnsiTheme="minorHAnsi"/>
          <w:color w:val="00000A"/>
          <w:sz w:val="24"/>
          <w:szCs w:val="24"/>
        </w:rPr>
      </w:pPr>
      <w:r>
        <w:rPr>
          <w:rFonts w:cs="Calibri" w:cstheme="minorHAnsi" w:ascii="Calibri" w:hAnsi="Calibri"/>
          <w:color w:val="00000A"/>
          <w:sz w:val="24"/>
          <w:szCs w:val="24"/>
        </w:rPr>
      </w:r>
    </w:p>
    <w:p>
      <w:pPr>
        <w:pStyle w:val="NoSpacing"/>
        <w:jc w:val="center"/>
        <w:rPr>
          <w:rFonts w:ascii="Calibri" w:hAnsi="Calibri"/>
          <w:sz w:val="24"/>
          <w:szCs w:val="24"/>
        </w:rPr>
      </w:pPr>
      <w:r>
        <w:rPr>
          <w:rFonts w:cs="Calibri" w:ascii="Calibri" w:hAnsi="Calibri" w:asciiTheme="minorHAnsi" w:cstheme="minorHAnsi" w:hAnsiTheme="minorHAnsi"/>
          <w:sz w:val="24"/>
          <w:szCs w:val="24"/>
        </w:rPr>
        <w:t>FABIANA AZEVEDO DE CASTRO</w:t>
      </w:r>
    </w:p>
    <w:p>
      <w:pPr>
        <w:pStyle w:val="NoSpacing"/>
        <w:jc w:val="center"/>
        <w:rPr>
          <w:rFonts w:ascii="Calibri" w:hAnsi="Calibri" w:cs="Calibri" w:asciiTheme="minorHAnsi" w:cstheme="minorHAnsi" w:hAnsiTheme="minorHAnsi"/>
          <w:sz w:val="24"/>
        </w:rPr>
      </w:pPr>
      <w:r>
        <w:rPr>
          <w:rFonts w:cs="Calibri" w:ascii="Calibri" w:hAnsi="Calibri" w:asciiTheme="minorHAnsi" w:cstheme="minorHAnsi" w:hAnsiTheme="minorHAnsi"/>
          <w:sz w:val="24"/>
          <w:szCs w:val="24"/>
        </w:rPr>
        <w:t>Capitão de Fragata (Md)</w:t>
      </w:r>
    </w:p>
    <w:p>
      <w:pPr>
        <w:pStyle w:val="NoSpacing"/>
        <w:jc w:val="center"/>
        <w:rPr>
          <w:rFonts w:ascii="Calibri" w:hAnsi="Calibri"/>
          <w:sz w:val="24"/>
          <w:szCs w:val="24"/>
        </w:rPr>
      </w:pPr>
      <w:bookmarkStart w:id="7" w:name="__DdeLink__14068_719535963"/>
      <w:bookmarkEnd w:id="7"/>
      <w:r>
        <w:rPr>
          <w:rFonts w:cs="Calibri" w:ascii="Calibri" w:hAnsi="Calibri" w:asciiTheme="minorHAnsi" w:cstheme="minorHAnsi" w:hAnsiTheme="minorHAnsi"/>
          <w:sz w:val="24"/>
          <w:szCs w:val="24"/>
        </w:rPr>
        <w:t>Assistente da Clínica de Traumato-Ortopedia</w:t>
      </w:r>
    </w:p>
    <w:p>
      <w:pPr>
        <w:pStyle w:val="Normal"/>
        <w:spacing w:beforeAutospacing="1" w:after="0"/>
        <w:rPr>
          <w:rFonts w:ascii="Calibri" w:hAnsi="Calibri" w:cs="Calibri" w:asciiTheme="minorHAnsi" w:cstheme="minorHAnsi" w:hAnsiTheme="minorHAnsi"/>
          <w:color w:val="00000A"/>
          <w:sz w:val="24"/>
        </w:rPr>
      </w:pPr>
      <w:r>
        <w:rPr>
          <w:rFonts w:cs="Calibri" w:ascii="Calibri" w:hAnsi="Calibri" w:asciiTheme="minorHAnsi" w:cstheme="minorHAnsi" w:hAnsiTheme="minorHAnsi"/>
          <w:b/>
          <w:bCs/>
          <w:color w:val="00000A"/>
          <w:sz w:val="24"/>
          <w:szCs w:val="24"/>
        </w:rPr>
        <w:t>Ato de aprovação.</w:t>
      </w:r>
    </w:p>
    <w:p>
      <w:pPr>
        <w:pStyle w:val="Normal"/>
        <w:spacing w:beforeAutospacing="1" w:after="0"/>
        <w:ind w:firstLine="1418"/>
        <w:rPr>
          <w:rFonts w:ascii="Calibri" w:hAnsi="Calibri" w:cs="Calibri" w:asciiTheme="minorHAnsi" w:cstheme="minorHAnsi" w:hAnsiTheme="minorHAnsi"/>
          <w:color w:val="00000A"/>
          <w:sz w:val="24"/>
        </w:rPr>
      </w:pPr>
      <w:r>
        <w:rPr>
          <w:rFonts w:cs="Calibri" w:ascii="Calibri" w:hAnsi="Calibri" w:asciiTheme="minorHAnsi" w:cstheme="minorHAnsi" w:hAnsiTheme="minorHAnsi"/>
          <w:color w:val="00000A"/>
          <w:sz w:val="24"/>
          <w:szCs w:val="24"/>
        </w:rPr>
        <w:t>Ao que consta na justificativa e objeto da aquisição, em cumprimento ao disposto no inciso II do art. 14, do Decreto nº 10.024/2019, aprovo o Termo de Referência, diante do exposto, restrito aos aspectos legais e formais do processo, entendendo pelo prosseguimento do mesmo.</w:t>
      </w:r>
    </w:p>
    <w:p>
      <w:pPr>
        <w:pStyle w:val="Normal"/>
        <w:spacing w:beforeAutospacing="1" w:after="0"/>
        <w:rPr>
          <w:rFonts w:ascii="Calibri" w:hAnsi="Calibri" w:cs="Calibri" w:asciiTheme="minorHAnsi" w:cstheme="minorHAnsi" w:hAnsiTheme="minorHAnsi"/>
          <w:color w:val="00000A"/>
          <w:sz w:val="24"/>
          <w:szCs w:val="24"/>
        </w:rPr>
      </w:pPr>
      <w:r>
        <w:rPr>
          <w:rFonts w:cs="Calibri" w:cstheme="minorHAnsi" w:ascii="Calibri" w:hAnsi="Calibri"/>
          <w:color w:val="00000A"/>
          <w:sz w:val="24"/>
          <w:szCs w:val="24"/>
        </w:rPr>
      </w:r>
    </w:p>
    <w:p>
      <w:pPr>
        <w:pStyle w:val="NoSpacing"/>
        <w:jc w:val="right"/>
        <w:rPr>
          <w:rFonts w:ascii="Calibri" w:hAnsi="Calibri"/>
          <w:sz w:val="24"/>
          <w:szCs w:val="24"/>
        </w:rPr>
      </w:pPr>
      <w:r>
        <w:rPr>
          <w:rFonts w:cs="Calibri" w:ascii="Calibri" w:hAnsi="Calibri" w:asciiTheme="minorHAnsi" w:cstheme="minorHAnsi" w:hAnsiTheme="minorHAnsi"/>
          <w:color w:val="000000"/>
          <w:sz w:val="24"/>
          <w:szCs w:val="24"/>
        </w:rPr>
        <w:t>Rio de Janeiro, RJ,           de                                 de 2023</w:t>
      </w:r>
      <w:r>
        <w:rPr>
          <w:rFonts w:cs="Calibri" w:ascii="Calibri" w:hAnsi="Calibri" w:asciiTheme="minorHAnsi" w:cstheme="minorHAnsi" w:hAnsiTheme="minorHAnsi"/>
          <w:sz w:val="24"/>
          <w:szCs w:val="24"/>
        </w:rPr>
        <w:t>.</w:t>
      </w:r>
    </w:p>
    <w:p>
      <w:pPr>
        <w:pStyle w:val="NoSpacing"/>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Spacing"/>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Spacing"/>
        <w:rPr>
          <w:rFonts w:ascii="Calibri" w:hAnsi="Calibri" w:cs="Calibri" w:asciiTheme="minorHAnsi" w:cstheme="minorHAnsi" w:hAnsiTheme="minorHAnsi"/>
          <w:sz w:val="24"/>
          <w:szCs w:val="24"/>
        </w:rPr>
      </w:pPr>
      <w:r>
        <w:rPr>
          <w:rFonts w:cs="Calibri" w:cstheme="minorHAnsi" w:ascii="Calibri" w:hAnsi="Calibri"/>
          <w:sz w:val="24"/>
          <w:szCs w:val="24"/>
        </w:rPr>
      </w:r>
    </w:p>
    <w:p>
      <w:pPr>
        <w:pStyle w:val="Corpodetexto"/>
        <w:widowControl/>
        <w:bidi w:val="0"/>
        <w:spacing w:lineRule="auto" w:line="288" w:before="0" w:after="0"/>
        <w:ind w:left="5669" w:right="0" w:hanging="0"/>
        <w:jc w:val="center"/>
        <w:rPr>
          <w:rFonts w:ascii="Calibri" w:hAnsi="Calibri" w:cs="Calibri"/>
          <w:color w:val="000000"/>
          <w:sz w:val="24"/>
          <w:szCs w:val="24"/>
        </w:rPr>
      </w:pPr>
      <w:r>
        <w:rPr>
          <w:rFonts w:cs="Calibri" w:ascii="Calibri" w:hAnsi="Calibri"/>
          <w:color w:val="000000"/>
          <w:sz w:val="24"/>
          <w:szCs w:val="24"/>
        </w:rPr>
        <w:t xml:space="preserve">PAULO HENRIQUE DIAS VEIGA </w:t>
      </w:r>
    </w:p>
    <w:p>
      <w:pPr>
        <w:pStyle w:val="Corpodetexto"/>
        <w:widowControl/>
        <w:bidi w:val="0"/>
        <w:spacing w:lineRule="auto" w:line="288" w:before="0" w:after="0"/>
        <w:ind w:left="5669" w:right="0" w:hanging="0"/>
        <w:jc w:val="center"/>
        <w:rPr>
          <w:rFonts w:ascii="Calibri" w:hAnsi="Calibri" w:cs="Calibri"/>
          <w:color w:val="000000"/>
          <w:sz w:val="24"/>
          <w:szCs w:val="24"/>
        </w:rPr>
      </w:pPr>
      <w:r>
        <w:rPr>
          <w:rFonts w:cs="Calibri" w:ascii="Calibri" w:hAnsi="Calibri"/>
          <w:color w:val="000000"/>
          <w:sz w:val="24"/>
          <w:szCs w:val="24"/>
        </w:rPr>
        <w:t>Capitão de Mar e Guerra (IM)</w:t>
      </w:r>
    </w:p>
    <w:p>
      <w:pPr>
        <w:pStyle w:val="Corpodetexto"/>
        <w:widowControl/>
        <w:bidi w:val="0"/>
        <w:spacing w:lineRule="auto" w:line="288" w:before="0" w:after="0"/>
        <w:ind w:left="5669" w:right="0" w:hanging="0"/>
        <w:jc w:val="center"/>
        <w:rPr>
          <w:rFonts w:ascii="Calibri" w:hAnsi="Calibri" w:cs="Calibri"/>
          <w:color w:val="000000"/>
          <w:sz w:val="24"/>
          <w:szCs w:val="24"/>
        </w:rPr>
      </w:pPr>
      <w:r>
        <w:rPr>
          <w:rFonts w:cs="Calibri" w:ascii="Calibri" w:hAnsi="Calibri" w:asciiTheme="minorHAnsi" w:cstheme="minorHAnsi" w:hAnsiTheme="minorHAnsi"/>
          <w:color w:val="000000"/>
          <w:sz w:val="24"/>
          <w:szCs w:val="24"/>
        </w:rPr>
        <w:t>Ordenador de Despesa</w:t>
      </w:r>
    </w:p>
    <w:p>
      <w:pPr>
        <w:pStyle w:val="Normal"/>
        <w:jc w:val="right"/>
        <w:rPr/>
      </w:pPr>
      <w:r>
        <w:rPr/>
      </w:r>
    </w:p>
    <w:sectPr>
      <w:footerReference w:type="default" r:id="rId6"/>
      <w:type w:val="nextPage"/>
      <w:pgSz w:w="11906" w:h="16838"/>
      <w:pgMar w:left="1701" w:right="1416" w:header="0" w:top="1225" w:footer="425"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CIDFont+F2">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12678562"/>
    </w:sdtPr>
    <w:sdtContent>
      <w:p>
        <w:pPr>
          <w:pStyle w:val="Rodap"/>
          <w:jc w:val="center"/>
          <w:rPr/>
        </w:pPr>
        <w:r>
          <w:rPr/>
          <w:t xml:space="preserve">- </w:t>
        </w:r>
        <w:r>
          <w:rPr/>
          <w:fldChar w:fldCharType="begin"/>
        </w:r>
        <w:r>
          <w:instrText> PAGE </w:instrText>
        </w:r>
        <w:r>
          <w:fldChar w:fldCharType="separate"/>
        </w:r>
        <w:r>
          <w:t>6</w:t>
        </w:r>
        <w:r>
          <w:fldChar w:fldCharType="end"/>
        </w:r>
        <w:r>
          <w:rPr/>
          <w:t xml:space="preserve"> de 13 –</w:t>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p>
        <w:pPr>
          <w:pStyle w:val="NoSpacing"/>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Calibri" w:hAnsi="Calibri"/>
      </w:rPr>
    </w:lvl>
    <w:lvl w:ilvl="1">
      <w:start w:val="1"/>
      <w:numFmt w:val="decimal"/>
      <w:lvlText w:val="%1.%2."/>
      <w:lvlJc w:val="left"/>
      <w:pPr>
        <w:ind w:left="792" w:hanging="432"/>
      </w:pPr>
      <w:rPr>
        <w:sz w:val="24"/>
        <w:i w:val="false"/>
        <w:b/>
        <w:iCs/>
        <w:rFonts w:ascii="Calibri" w:hAnsi="Calibri"/>
      </w:rPr>
    </w:lvl>
    <w:lvl w:ilvl="2">
      <w:start w:val="1"/>
      <w:numFmt w:val="decimal"/>
      <w:lvlText w:val="%1.%2.%3."/>
      <w:lvlJc w:val="left"/>
      <w:pPr>
        <w:ind w:left="1224" w:hanging="504"/>
      </w:pPr>
      <w:rPr>
        <w:sz w:val="24"/>
        <w:i w:val="false"/>
        <w:b/>
        <w:iCs/>
        <w:rFonts w:ascii="Calibri" w:hAnsi="Calibri"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sz w:val="24"/>
        <w:i w:val="false"/>
        <w:b w:val="false"/>
        <w:iCs/>
        <w:rFonts w:ascii="Calibri" w:hAnsi="Calibri"/>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00000A"/>
      <w:sz w:val="20"/>
      <w:szCs w:val="24"/>
      <w:lang w:val="pt-BR" w:eastAsia="pt-BR" w:bidi="ar-SA"/>
    </w:rPr>
  </w:style>
  <w:style w:type="paragraph" w:styleId="Ttulo1">
    <w:name w:val="Heading 1"/>
    <w:basedOn w:val="Normal"/>
    <w:next w:val="Normal"/>
    <w:link w:val="Ttulo1Char"/>
    <w:uiPriority w:val="9"/>
    <w:qFormat/>
    <w:rsid w:val="009f771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Strong">
    <w:name w:val="Strong"/>
    <w:basedOn w:val="DefaultParagraphFont"/>
    <w:uiPriority w:val="22"/>
    <w:qFormat/>
    <w:rsid w:val="002e3274"/>
    <w:rPr>
      <w:b/>
      <w:bCs/>
    </w:rPr>
  </w:style>
  <w:style w:type="character" w:styleId="Fontstyle01" w:customStyle="1">
    <w:name w:val="fontstyle01"/>
    <w:basedOn w:val="DefaultParagraphFont"/>
    <w:qFormat/>
    <w:rsid w:val="00a72af9"/>
    <w:rPr>
      <w:rFonts w:ascii="CIDFont+F2" w:hAnsi="CIDFont+F2"/>
      <w:b w:val="false"/>
      <w:bCs w:val="false"/>
      <w:i w:val="false"/>
      <w:iCs w:val="false"/>
      <w:color w:val="000000"/>
      <w:sz w:val="16"/>
      <w:szCs w:val="16"/>
    </w:rPr>
  </w:style>
  <w:style w:type="character" w:styleId="ListLabel1">
    <w:name w:val="ListLabel 1"/>
    <w:qFormat/>
    <w:rPr>
      <w:b/>
      <w:sz w:val="24"/>
    </w:rPr>
  </w:style>
  <w:style w:type="character" w:styleId="ListLabel2">
    <w:name w:val="ListLabel 2"/>
    <w:qFormat/>
    <w:rPr>
      <w:b/>
      <w:i w:val="false"/>
      <w:iCs/>
      <w:sz w:val="24"/>
    </w:rPr>
  </w:style>
  <w:style w:type="character" w:styleId="ListLabel3">
    <w:name w:val="ListLabel 3"/>
    <w:qFormat/>
    <w:rPr>
      <w:rFonts w:cs="Arial"/>
      <w:b/>
      <w:i w:val="false"/>
      <w:iCs/>
      <w:color w:val="00000A"/>
      <w:sz w:val="24"/>
    </w:rPr>
  </w:style>
  <w:style w:type="character" w:styleId="ListLabel4">
    <w:name w:val="ListLabel 4"/>
    <w:qFormat/>
    <w:rPr>
      <w:rFonts w:cs="Arial"/>
    </w:rPr>
  </w:style>
  <w:style w:type="character" w:styleId="ListLabel5">
    <w:name w:val="ListLabel 5"/>
    <w:qFormat/>
    <w:rPr>
      <w:color w:val="00000A"/>
    </w:rPr>
  </w:style>
  <w:style w:type="character" w:styleId="ListLabel6">
    <w:name w:val="ListLabel 6"/>
    <w:qFormat/>
    <w:rPr>
      <w:color w:val="00000A"/>
    </w:rPr>
  </w:style>
  <w:style w:type="character" w:styleId="ListLabel7">
    <w:name w:val="ListLabel 7"/>
    <w:qFormat/>
    <w:rPr>
      <w:color w:val="00000A"/>
    </w:rPr>
  </w:style>
  <w:style w:type="character" w:styleId="ListLabel8">
    <w:name w:val="ListLabel 8"/>
    <w:qFormat/>
    <w:rPr>
      <w:color w:val="00000A"/>
    </w:rPr>
  </w:style>
  <w:style w:type="character" w:styleId="ListLabel9">
    <w:name w:val="ListLabel 9"/>
    <w:qFormat/>
    <w:rPr>
      <w:color w:val="00000A"/>
    </w:rPr>
  </w:style>
  <w:style w:type="character" w:styleId="ListLabel10">
    <w:name w:val="ListLabel 10"/>
    <w:qFormat/>
    <w:rPr>
      <w:color w:val="00000A"/>
    </w:rPr>
  </w:style>
  <w:style w:type="character" w:styleId="ListLabel11">
    <w:name w:val="ListLabel 11"/>
    <w:qFormat/>
    <w:rPr>
      <w:color w:val="00000A"/>
    </w:rPr>
  </w:style>
  <w:style w:type="character" w:styleId="ListLabel12">
    <w:name w:val="ListLabel 12"/>
    <w:qFormat/>
    <w:rPr>
      <w:color w:val="00000A"/>
    </w:rPr>
  </w:style>
  <w:style w:type="character" w:styleId="ListLabel13">
    <w:name w:val="ListLabel 13"/>
    <w:qFormat/>
    <w:rPr>
      <w:color w:val="00000A"/>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00000A"/>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00000A"/>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00000A"/>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00000A"/>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00000A"/>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00000A"/>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b w:val="false"/>
    </w:rPr>
  </w:style>
  <w:style w:type="character" w:styleId="ListLabel49">
    <w:name w:val="ListLabel 49"/>
    <w:qFormat/>
    <w:rPr>
      <w:b w:val="false"/>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00000A"/>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00000A"/>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00000A"/>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00000A"/>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00000A"/>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00000A"/>
      <w:sz w:val="24"/>
    </w:rPr>
  </w:style>
  <w:style w:type="character" w:styleId="ListLabel71">
    <w:name w:val="ListLabel 71"/>
    <w:qFormat/>
    <w:rPr>
      <w:rFonts w:ascii="Calibri" w:hAnsi="Calibri"/>
      <w:b/>
      <w:sz w:val="24"/>
    </w:rPr>
  </w:style>
  <w:style w:type="character" w:styleId="ListLabel72">
    <w:name w:val="ListLabel 72"/>
    <w:qFormat/>
    <w:rPr>
      <w:rFonts w:ascii="Calibri" w:hAnsi="Calibri"/>
      <w:b/>
      <w:i w:val="false"/>
      <w:iCs/>
      <w:sz w:val="24"/>
    </w:rPr>
  </w:style>
  <w:style w:type="character" w:styleId="ListLabel73">
    <w:name w:val="ListLabel 73"/>
    <w:qFormat/>
    <w:rPr>
      <w:rFonts w:ascii="Calibri" w:hAnsi="Calibri" w:cs="Arial"/>
      <w:b/>
      <w:i w:val="false"/>
      <w:iCs/>
      <w:color w:val="00000A"/>
      <w:sz w:val="24"/>
    </w:rPr>
  </w:style>
  <w:style w:type="character" w:styleId="ListLabel74">
    <w:name w:val="ListLabel 74"/>
    <w:qFormat/>
    <w:rPr>
      <w:b/>
    </w:rPr>
  </w:style>
  <w:style w:type="character" w:styleId="ListLabel75">
    <w:name w:val="ListLabel 75"/>
    <w:qFormat/>
    <w:rPr>
      <w:b w:val="false"/>
      <w:i w:val="false"/>
      <w:iCs/>
    </w:rPr>
  </w:style>
  <w:style w:type="character" w:styleId="ListLabel76">
    <w:name w:val="ListLabel 76"/>
    <w:qFormat/>
    <w:rPr>
      <w:rFonts w:cs="Arial"/>
      <w:b w:val="false"/>
      <w:i w:val="false"/>
      <w:iCs/>
      <w:color w:val="00000A"/>
    </w:rPr>
  </w:style>
  <w:style w:type="character" w:styleId="ListLabel77">
    <w:name w:val="ListLabel 77"/>
    <w:qFormat/>
    <w:rPr>
      <w:b/>
    </w:rPr>
  </w:style>
  <w:style w:type="character" w:styleId="ListLabel78">
    <w:name w:val="ListLabel 78"/>
    <w:qFormat/>
    <w:rPr>
      <w:b w:val="false"/>
      <w:i w:val="false"/>
      <w:iCs/>
    </w:rPr>
  </w:style>
  <w:style w:type="character" w:styleId="ListLabel79">
    <w:name w:val="ListLabel 79"/>
    <w:qFormat/>
    <w:rPr>
      <w:rFonts w:ascii="Calibri" w:hAnsi="Calibri"/>
      <w:b w:val="false"/>
      <w:i w:val="false"/>
      <w:iCs/>
      <w:color w:val="00000A"/>
      <w:sz w:val="24"/>
    </w:rPr>
  </w:style>
  <w:style w:type="character" w:styleId="ListLabel80">
    <w:name w:val="ListLabel 80"/>
    <w:qFormat/>
    <w:rPr>
      <w:rFonts w:ascii="Calibri" w:hAnsi="Calibri"/>
      <w:b/>
      <w:sz w:val="24"/>
    </w:rPr>
  </w:style>
  <w:style w:type="character" w:styleId="ListLabel81">
    <w:name w:val="ListLabel 81"/>
    <w:qFormat/>
    <w:rPr>
      <w:rFonts w:ascii="Calibri" w:hAnsi="Calibri"/>
      <w:b/>
      <w:i w:val="false"/>
      <w:iCs/>
      <w:sz w:val="24"/>
    </w:rPr>
  </w:style>
  <w:style w:type="character" w:styleId="ListLabel82">
    <w:name w:val="ListLabel 82"/>
    <w:qFormat/>
    <w:rPr>
      <w:rFonts w:ascii="Calibri" w:hAnsi="Calibri" w:cs="Arial"/>
      <w:b/>
      <w:i w:val="false"/>
      <w:iCs/>
      <w:color w:val="00000A"/>
      <w:sz w:val="24"/>
    </w:rPr>
  </w:style>
  <w:style w:type="character" w:styleId="ListLabel83">
    <w:name w:val="ListLabel 83"/>
    <w:qFormat/>
    <w:rPr>
      <w:b/>
    </w:rPr>
  </w:style>
  <w:style w:type="character" w:styleId="ListLabel84">
    <w:name w:val="ListLabel 84"/>
    <w:qFormat/>
    <w:rPr>
      <w:b w:val="false"/>
      <w:i w:val="false"/>
      <w:iCs/>
    </w:rPr>
  </w:style>
  <w:style w:type="character" w:styleId="ListLabel85">
    <w:name w:val="ListLabel 85"/>
    <w:qFormat/>
    <w:rPr>
      <w:rFonts w:cs="Arial"/>
      <w:b w:val="false"/>
      <w:i w:val="false"/>
      <w:iCs/>
      <w:color w:val="00000A"/>
    </w:rPr>
  </w:style>
  <w:style w:type="character" w:styleId="ListLabel86">
    <w:name w:val="ListLabel 86"/>
    <w:qFormat/>
    <w:rPr>
      <w:b/>
    </w:rPr>
  </w:style>
  <w:style w:type="character" w:styleId="ListLabel87">
    <w:name w:val="ListLabel 87"/>
    <w:qFormat/>
    <w:rPr>
      <w:b w:val="false"/>
      <w:i w:val="false"/>
      <w:iCs/>
    </w:rPr>
  </w:style>
  <w:style w:type="character" w:styleId="ListLabel88">
    <w:name w:val="ListLabel 88"/>
    <w:qFormat/>
    <w:rPr>
      <w:rFonts w:ascii="Calibri" w:hAnsi="Calibri"/>
      <w:b w:val="false"/>
      <w:i w:val="false"/>
      <w:iCs/>
      <w:color w:val="00000A"/>
      <w:sz w:val="24"/>
    </w:rPr>
  </w:style>
  <w:style w:type="character" w:styleId="ListLabel89">
    <w:name w:val="ListLabel 89"/>
    <w:qFormat/>
    <w:rPr>
      <w:rFonts w:ascii="Calibri" w:hAnsi="Calibri"/>
      <w:b/>
      <w:sz w:val="24"/>
    </w:rPr>
  </w:style>
  <w:style w:type="character" w:styleId="ListLabel90">
    <w:name w:val="ListLabel 90"/>
    <w:qFormat/>
    <w:rPr>
      <w:rFonts w:ascii="Calibri" w:hAnsi="Calibri"/>
      <w:b/>
      <w:i w:val="false"/>
      <w:iCs/>
      <w:sz w:val="24"/>
    </w:rPr>
  </w:style>
  <w:style w:type="character" w:styleId="ListLabel91">
    <w:name w:val="ListLabel 91"/>
    <w:qFormat/>
    <w:rPr>
      <w:rFonts w:ascii="Calibri" w:hAnsi="Calibri" w:cs="Arial"/>
      <w:b/>
      <w:i w:val="false"/>
      <w:iCs/>
      <w:color w:val="00000A"/>
      <w:sz w:val="24"/>
    </w:rPr>
  </w:style>
  <w:style w:type="character" w:styleId="ListLabel92">
    <w:name w:val="ListLabel 92"/>
    <w:qFormat/>
    <w:rPr>
      <w:b/>
    </w:rPr>
  </w:style>
  <w:style w:type="character" w:styleId="ListLabel93">
    <w:name w:val="ListLabel 93"/>
    <w:qFormat/>
    <w:rPr>
      <w:b w:val="false"/>
      <w:i w:val="false"/>
      <w:iCs/>
    </w:rPr>
  </w:style>
  <w:style w:type="character" w:styleId="ListLabel94">
    <w:name w:val="ListLabel 94"/>
    <w:qFormat/>
    <w:rPr>
      <w:rFonts w:cs="Arial"/>
      <w:b w:val="false"/>
      <w:i w:val="false"/>
      <w:iCs/>
      <w:color w:val="00000A"/>
    </w:rPr>
  </w:style>
  <w:style w:type="character" w:styleId="ListLabel95">
    <w:name w:val="ListLabel 95"/>
    <w:qFormat/>
    <w:rPr>
      <w:b/>
    </w:rPr>
  </w:style>
  <w:style w:type="character" w:styleId="ListLabel96">
    <w:name w:val="ListLabel 96"/>
    <w:qFormat/>
    <w:rPr>
      <w:b w:val="false"/>
      <w:i w:val="false"/>
      <w:iCs/>
    </w:rPr>
  </w:style>
  <w:style w:type="character" w:styleId="ListLabel97">
    <w:name w:val="ListLabel 97"/>
    <w:qFormat/>
    <w:rPr>
      <w:rFonts w:ascii="Calibri" w:hAnsi="Calibri"/>
      <w:b w:val="false"/>
      <w:i w:val="false"/>
      <w:iCs/>
      <w:color w:val="00000A"/>
      <w:sz w:val="24"/>
    </w:rPr>
  </w:style>
  <w:style w:type="character" w:styleId="Nfaseforte">
    <w:name w:val="Ênfase forte"/>
    <w:qFormat/>
    <w:rPr>
      <w:b/>
      <w:bCs/>
    </w:rPr>
  </w:style>
  <w:style w:type="character" w:styleId="ListLabel98">
    <w:name w:val="ListLabel 98"/>
    <w:qFormat/>
    <w:rPr>
      <w:rFonts w:ascii="Calibri" w:hAnsi="Calibri"/>
      <w:b/>
      <w:sz w:val="24"/>
    </w:rPr>
  </w:style>
  <w:style w:type="character" w:styleId="ListLabel99">
    <w:name w:val="ListLabel 99"/>
    <w:qFormat/>
    <w:rPr>
      <w:rFonts w:ascii="Calibri" w:hAnsi="Calibri"/>
      <w:b/>
      <w:i w:val="false"/>
      <w:iCs/>
      <w:sz w:val="24"/>
    </w:rPr>
  </w:style>
  <w:style w:type="character" w:styleId="ListLabel100">
    <w:name w:val="ListLabel 100"/>
    <w:qFormat/>
    <w:rPr>
      <w:rFonts w:ascii="Calibri" w:hAnsi="Calibri" w:cs="Arial"/>
      <w:b/>
      <w:i w:val="false"/>
      <w:iCs/>
      <w:color w:val="00000A"/>
      <w:sz w:val="24"/>
    </w:rPr>
  </w:style>
  <w:style w:type="character" w:styleId="ListLabel101">
    <w:name w:val="ListLabel 101"/>
    <w:qFormat/>
    <w:rPr>
      <w:b/>
    </w:rPr>
  </w:style>
  <w:style w:type="character" w:styleId="ListLabel102">
    <w:name w:val="ListLabel 102"/>
    <w:qFormat/>
    <w:rPr>
      <w:b w:val="false"/>
      <w:i w:val="false"/>
      <w:iCs/>
    </w:rPr>
  </w:style>
  <w:style w:type="character" w:styleId="ListLabel103">
    <w:name w:val="ListLabel 103"/>
    <w:qFormat/>
    <w:rPr>
      <w:rFonts w:cs="Arial"/>
      <w:b w:val="false"/>
      <w:i w:val="false"/>
      <w:iCs/>
      <w:color w:val="00000A"/>
    </w:rPr>
  </w:style>
  <w:style w:type="character" w:styleId="ListLabel104">
    <w:name w:val="ListLabel 104"/>
    <w:qFormat/>
    <w:rPr>
      <w:b/>
    </w:rPr>
  </w:style>
  <w:style w:type="character" w:styleId="ListLabel105">
    <w:name w:val="ListLabel 105"/>
    <w:qFormat/>
    <w:rPr>
      <w:b w:val="false"/>
      <w:i w:val="false"/>
      <w:iCs/>
    </w:rPr>
  </w:style>
  <w:style w:type="character" w:styleId="ListLabel106">
    <w:name w:val="ListLabel 106"/>
    <w:qFormat/>
    <w:rPr>
      <w:rFonts w:ascii="Calibri" w:hAnsi="Calibri"/>
      <w:b w:val="false"/>
      <w:i w:val="false"/>
      <w:iCs/>
      <w:color w:val="00000A"/>
      <w:sz w:val="24"/>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00000A"/>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NormalWeb">
    <w:name w:val="Normal (Web)"/>
    <w:basedOn w:val="Normal"/>
    <w:uiPriority w:val="99"/>
    <w:unhideWhenUsed/>
    <w:qFormat/>
    <w:rsid w:val="00f03dcd"/>
    <w:pPr>
      <w:spacing w:beforeAutospacing="1" w:after="119"/>
    </w:pPr>
    <w:rPr>
      <w:rFonts w:ascii="Times New Roman" w:hAnsi="Times New Roman" w:cs="Times New Roman"/>
      <w:sz w:val="24"/>
    </w:rPr>
  </w:style>
  <w:style w:type="paragraph" w:styleId="Western" w:customStyle="1">
    <w:name w:val="western"/>
    <w:basedOn w:val="Normal"/>
    <w:qFormat/>
    <w:rsid w:val="00f03dcd"/>
    <w:pPr>
      <w:spacing w:beforeAutospacing="1" w:after="119"/>
    </w:pPr>
    <w:rPr>
      <w:rFonts w:ascii="Times New Roman" w:hAnsi="Times New Roman" w:cs="Times New Roman"/>
      <w:sz w:val="24"/>
    </w:rPr>
  </w:style>
  <w:style w:type="paragraph" w:styleId="NoSpacing">
    <w:name w:val="No Spacing"/>
    <w:uiPriority w:val="1"/>
    <w:qFormat/>
    <w:rsid w:val="006b74fb"/>
    <w:pPr>
      <w:widowControl/>
      <w:bidi w:val="0"/>
      <w:spacing w:lineRule="auto" w:line="240" w:before="0" w:after="0"/>
      <w:jc w:val="left"/>
    </w:pPr>
    <w:rPr>
      <w:rFonts w:ascii="Arial" w:hAnsi="Arial" w:eastAsia="Times New Roman" w:cs="Tahoma"/>
      <w:color w:val="00000A"/>
      <w:sz w:val="20"/>
      <w:szCs w:val="24"/>
      <w:lang w:val="pt-BR" w:eastAsia="pt-BR" w:bidi="ar-SA"/>
    </w:rPr>
  </w:style>
  <w:style w:type="paragraph" w:styleId="SemEspaamento">
    <w:name w:val="Sem Espaçamento"/>
    <w:qFormat/>
    <w:pPr>
      <w:widowControl/>
      <w:suppressAutoHyphens w:val="true"/>
      <w:bidi w:val="0"/>
      <w:jc w:val="left"/>
    </w:pPr>
    <w:rPr>
      <w:rFonts w:ascii="Liberation Serif" w:hAnsi="Liberation Serif" w:eastAsia="SimSun;宋体" w:cs="Mangal;Liberation Mono"/>
      <w:color w:val="00000A"/>
      <w:sz w:val="24"/>
      <w:szCs w:val="21"/>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Application>LibreOffice/5.2.7.2$Windows_X86_64 LibreOffice_project/2b7f1e640c46ceb28adf43ee075a6e8b8439ed10</Application>
  <Pages>13</Pages>
  <Words>4724</Words>
  <Characters>27075</Characters>
  <CharactersWithSpaces>31515</CharactersWithSpaces>
  <Paragraphs>212</Paragraphs>
  <Company>HNMD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2022-10-26T14:41:00Z</dcterms:created>
  <dc:creator>Hugo Sales</dc:creator>
  <dc:description/>
  <dc:language>pt-BR</dc:language>
  <cp:lastModifiedBy/>
  <cp:lastPrinted>2023-09-11T14:39:01Z</cp:lastPrinted>
  <dcterms:modified xsi:type="dcterms:W3CDTF">2023-10-31T09:04:41Z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HNMD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